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numPr>
          <w:ilvl w:val="0"/>
          <w:numId w:val="0"/>
        </w:numPr>
        <w:spacing w:before="161" w:line="360" w:lineRule="auto"/>
        <w:ind w:right="105" w:rightChars="0"/>
        <w:jc w:val="center"/>
        <w:outlineLvl w:val="1"/>
        <w:rPr>
          <w:rFonts w:hint="default" w:ascii="宋体" w:hAnsi="宋体" w:cs="Microsoft JhengHei" w:eastAsiaTheme="minorEastAsia"/>
          <w:b/>
          <w:bCs/>
          <w:sz w:val="24"/>
          <w:szCs w:val="24"/>
          <w:lang w:val="en-US" w:eastAsia="zh-CN" w:bidi="ar-SA"/>
        </w:rPr>
      </w:pPr>
      <w:r>
        <w:rPr>
          <w:rFonts w:hint="default" w:asciiTheme="minorAscii" w:hAnsiTheme="minorAscii"/>
          <w:sz w:val="28"/>
          <w:szCs w:val="36"/>
        </w:rPr>
        <w:t>铜仁市妇幼保健院SPD医用耗材物流服务系统</w:t>
      </w:r>
      <w:r>
        <w:rPr>
          <w:rFonts w:hint="eastAsia" w:asciiTheme="minorAscii" w:hAnsiTheme="minorAscii"/>
          <w:sz w:val="28"/>
          <w:szCs w:val="36"/>
          <w:lang w:val="en-US" w:eastAsia="zh-CN"/>
        </w:rPr>
        <w:t>技术参数</w:t>
      </w:r>
    </w:p>
    <w:p>
      <w:pPr>
        <w:pStyle w:val="13"/>
        <w:numPr>
          <w:ilvl w:val="0"/>
          <w:numId w:val="0"/>
        </w:numPr>
        <w:spacing w:before="161" w:line="360" w:lineRule="auto"/>
        <w:ind w:right="105" w:rightChars="0"/>
        <w:outlineLvl w:val="1"/>
        <w:rPr>
          <w:rFonts w:ascii="宋体" w:hAnsi="宋体" w:eastAsia="宋体" w:cs="Microsoft JhengHei"/>
          <w:b/>
          <w:bCs/>
          <w:sz w:val="24"/>
          <w:szCs w:val="24"/>
          <w:lang w:eastAsia="zh-CN"/>
        </w:rPr>
      </w:pPr>
      <w:r>
        <w:rPr>
          <w:rFonts w:hint="default" w:ascii="宋体" w:hAnsi="宋体" w:eastAsia="宋体" w:cs="Microsoft JhengHei"/>
          <w:b/>
          <w:bCs/>
          <w:sz w:val="24"/>
          <w:szCs w:val="24"/>
          <w:lang w:val="en-US" w:eastAsia="zh-CN" w:bidi="ar-SA"/>
        </w:rPr>
        <w:t>一、</w:t>
      </w:r>
      <w:r>
        <w:rPr>
          <w:rFonts w:hint="eastAsia" w:ascii="宋体" w:hAnsi="宋体" w:eastAsia="宋体" w:cs="Microsoft JhengHei"/>
          <w:b/>
          <w:bCs/>
          <w:sz w:val="24"/>
          <w:szCs w:val="24"/>
          <w:lang w:eastAsia="zh-CN"/>
        </w:rPr>
        <w:t>项目建设要求：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投标方需要为铜仁市妇幼保健院建立运营整体医用物资运营信息化平台、医用物资物流运营团队和必须的院内物流运营辅助性硬件设备。</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 xml:space="preserve"> </w:t>
      </w:r>
      <w:r>
        <w:rPr>
          <w:rFonts w:hint="eastAsia" w:ascii="宋体" w:hAnsi="宋体" w:eastAsia="宋体" w:cs="Microsoft JhengHei"/>
          <w:bCs/>
          <w:sz w:val="24"/>
          <w:szCs w:val="24"/>
          <w:lang w:val="en-US" w:eastAsia="zh-CN"/>
        </w:rPr>
        <w:t xml:space="preserve">   </w:t>
      </w:r>
      <w:r>
        <w:rPr>
          <w:rFonts w:hint="eastAsia" w:ascii="宋体" w:hAnsi="宋体" w:eastAsia="宋体" w:cs="Microsoft JhengHei"/>
          <w:bCs/>
          <w:sz w:val="24"/>
          <w:szCs w:val="24"/>
          <w:lang w:eastAsia="zh-CN"/>
        </w:rPr>
        <w:t>1、建立覆盖供应商、临床使用科室、医用耗材管理部门及相关的财务、医保、物价部门之间一体化的供应链集约化管理平台，实现耗材从科室提出需求到采购、入库、配送出库、使用消耗的全过程管理。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2、建立并提供完善的服务质量保证体系和制度并承诺对医院的服务质量负全责，如因院内物流服务质量出现问题，给医院造成纠纷和经济损失，运营方承担全部责任，运营方要接受院方的服务考评。</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3、以服务全院为出发点为医院智能化耗材中心库进行改造，并配置相应的信息及物流设施设备，使其能够满足智能化模式的有效运行。</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4、以服务一线为出发点为医院所有各级消耗点（包括临床科室、手术室等）进行改造，使其能够满足智能化模式的有效运行（二级库房内要具有移动PDA设备、货架等）；重点科室提供高值耗材柜管理业务，支持跟台类高值耗材业务、寄售类高值耗材业务。</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5、以服务临床为出发点对传统业务流程进行改造，实现对二级消耗点主动配送服务模式，保障二级消耗点供给安全，降低临床医护人员科室库库存管理负担，解放临床医护人员，使其回归临床。</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6、实现医用物资在院内全程追溯管理，实现医用物资根据需要进行单元化管理、高值耗材“一物一码”管理，实现高值耗材从采购计划发出、供应商送货、院方验收、领用使用、收费、结算等各个环节全程管理，监控高值耗材的收费与使用，保障医疗安全。</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7、实现高值耗材智能化管理，通过智能柜等设备的应用，实现科室库存物资在无人值守下的存取管理，打造高值耗材无人值守的管理模式，节约人力并提升整体应用层次；实现如下功能：柜内存放物品进行实时盘点管理，物品实时在位监控管理，物品的取出和放入实时监控管理。拥有触摸屏，指纹识别等功能。</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8、投标人提供的物流服务设备依据医院的需求进行提供，在投标文件中，需要列明投标人在建设铜仁市妇幼保健院院内医用物资物流所需要提供的物流服务设备和预估数量。</w:t>
      </w:r>
    </w:p>
    <w:p>
      <w:pPr>
        <w:pStyle w:val="13"/>
        <w:numPr>
          <w:ilvl w:val="0"/>
          <w:numId w:val="0"/>
        </w:numPr>
        <w:spacing w:before="161" w:line="360" w:lineRule="auto"/>
        <w:ind w:right="105" w:rightChars="0"/>
        <w:outlineLvl w:val="1"/>
        <w:rPr>
          <w:rFonts w:hint="default" w:cs="Microsoft JhengHei" w:asciiTheme="minorEastAsia" w:hAnsiTheme="minorEastAsia" w:eastAsiaTheme="minorEastAsia"/>
          <w:b/>
          <w:bCs/>
          <w:sz w:val="24"/>
          <w:szCs w:val="24"/>
          <w:lang w:val="en-US" w:eastAsia="zh-CN" w:bidi="ar-SA"/>
        </w:rPr>
      </w:pPr>
    </w:p>
    <w:p>
      <w:pPr>
        <w:pStyle w:val="13"/>
        <w:numPr>
          <w:ilvl w:val="0"/>
          <w:numId w:val="0"/>
        </w:numPr>
        <w:spacing w:before="161" w:line="360" w:lineRule="auto"/>
        <w:ind w:right="105" w:rightChars="0"/>
        <w:outlineLvl w:val="1"/>
        <w:rPr>
          <w:rFonts w:hint="default" w:cs="Microsoft JhengHei" w:asciiTheme="minorEastAsia" w:hAnsiTheme="minorEastAsia" w:eastAsiaTheme="minorEastAsia"/>
          <w:b/>
          <w:bCs/>
          <w:sz w:val="24"/>
          <w:szCs w:val="24"/>
          <w:lang w:val="en-US" w:eastAsia="zh-CN" w:bidi="ar-SA"/>
        </w:rPr>
      </w:pPr>
    </w:p>
    <w:p>
      <w:pPr>
        <w:pStyle w:val="13"/>
        <w:numPr>
          <w:ilvl w:val="0"/>
          <w:numId w:val="0"/>
        </w:numPr>
        <w:spacing w:before="161" w:line="360" w:lineRule="auto"/>
        <w:ind w:right="105" w:rightChars="0"/>
        <w:outlineLvl w:val="1"/>
        <w:rPr>
          <w:rFonts w:cs="Microsoft JhengHei" w:asciiTheme="minorEastAsia" w:hAnsiTheme="minorEastAsia"/>
          <w:b/>
          <w:bCs/>
          <w:sz w:val="24"/>
          <w:szCs w:val="24"/>
          <w:lang w:eastAsia="zh-CN"/>
        </w:rPr>
      </w:pPr>
      <w:r>
        <w:rPr>
          <w:rFonts w:hint="default" w:cs="Microsoft JhengHei" w:asciiTheme="minorEastAsia" w:hAnsiTheme="minorEastAsia" w:eastAsiaTheme="minorEastAsia"/>
          <w:b/>
          <w:bCs/>
          <w:sz w:val="24"/>
          <w:szCs w:val="24"/>
          <w:lang w:val="en-US" w:eastAsia="zh-CN" w:bidi="ar-SA"/>
        </w:rPr>
        <w:t>二、</w:t>
      </w:r>
      <w:r>
        <w:rPr>
          <w:rFonts w:hint="eastAsia" w:cs="Microsoft JhengHei" w:asciiTheme="minorEastAsia" w:hAnsiTheme="minorEastAsia"/>
          <w:b/>
          <w:bCs/>
          <w:sz w:val="24"/>
          <w:szCs w:val="24"/>
          <w:lang w:eastAsia="zh-CN"/>
        </w:rPr>
        <w:t>系统功能要求</w:t>
      </w:r>
    </w:p>
    <w:tbl>
      <w:tblPr>
        <w:tblStyle w:val="12"/>
        <w:tblW w:w="9356" w:type="dxa"/>
        <w:tblInd w:w="137" w:type="dxa"/>
        <w:tblLayout w:type="fixed"/>
        <w:tblCellMar>
          <w:top w:w="0" w:type="dxa"/>
          <w:left w:w="0" w:type="dxa"/>
          <w:bottom w:w="0" w:type="dxa"/>
          <w:right w:w="0" w:type="dxa"/>
        </w:tblCellMar>
      </w:tblPr>
      <w:tblGrid>
        <w:gridCol w:w="1671"/>
        <w:gridCol w:w="4283"/>
        <w:gridCol w:w="1417"/>
        <w:gridCol w:w="1985"/>
      </w:tblGrid>
      <w:tr>
        <w:tblPrEx>
          <w:tblCellMar>
            <w:top w:w="0" w:type="dxa"/>
            <w:left w:w="0" w:type="dxa"/>
            <w:bottom w:w="0" w:type="dxa"/>
            <w:right w:w="0" w:type="dxa"/>
          </w:tblCellMar>
        </w:tblPrEx>
        <w:trPr>
          <w:trHeight w:val="619" w:hRule="exact"/>
        </w:trPr>
        <w:tc>
          <w:tcPr>
            <w:tcW w:w="1671"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215"/>
              <w:jc w:val="center"/>
              <w:rPr>
                <w:rFonts w:ascii="宋体" w:hAnsi="宋体" w:eastAsia="宋体" w:cs="Times New Roman"/>
                <w:sz w:val="18"/>
                <w:szCs w:val="18"/>
              </w:rPr>
            </w:pPr>
            <w:r>
              <w:rPr>
                <w:rFonts w:ascii="宋体" w:hAnsi="宋体" w:eastAsia="宋体" w:cs="Microsoft JhengHei"/>
                <w:b/>
                <w:bCs/>
                <w:sz w:val="18"/>
                <w:szCs w:val="18"/>
              </w:rPr>
              <w:t>序号</w:t>
            </w:r>
          </w:p>
        </w:tc>
        <w:tc>
          <w:tcPr>
            <w:tcW w:w="4283"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8"/>
              <w:jc w:val="center"/>
              <w:rPr>
                <w:rFonts w:ascii="宋体" w:hAnsi="宋体" w:eastAsia="宋体" w:cs="Times New Roman"/>
                <w:sz w:val="18"/>
                <w:szCs w:val="18"/>
              </w:rPr>
            </w:pPr>
            <w:r>
              <w:rPr>
                <w:rFonts w:ascii="宋体" w:hAnsi="宋体" w:eastAsia="宋体" w:cs="Microsoft JhengHei"/>
                <w:b/>
                <w:bCs/>
                <w:sz w:val="18"/>
                <w:szCs w:val="18"/>
              </w:rPr>
              <w:t>软件系统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278"/>
              <w:jc w:val="center"/>
              <w:rPr>
                <w:rFonts w:ascii="宋体" w:hAnsi="宋体" w:eastAsia="宋体" w:cs="Times New Roman"/>
                <w:sz w:val="18"/>
                <w:szCs w:val="18"/>
              </w:rPr>
            </w:pPr>
            <w:r>
              <w:rPr>
                <w:rFonts w:ascii="宋体" w:hAnsi="宋体" w:eastAsia="宋体" w:cs="Microsoft JhengHei"/>
                <w:b/>
                <w:bCs/>
                <w:sz w:val="18"/>
                <w:szCs w:val="18"/>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280"/>
              <w:jc w:val="center"/>
              <w:rPr>
                <w:rFonts w:ascii="宋体" w:hAnsi="宋体" w:eastAsia="宋体" w:cs="Times New Roman"/>
                <w:sz w:val="18"/>
                <w:szCs w:val="18"/>
              </w:rPr>
            </w:pPr>
            <w:r>
              <w:rPr>
                <w:rFonts w:ascii="宋体" w:hAnsi="宋体" w:eastAsia="宋体" w:cs="Microsoft JhengHei"/>
                <w:b/>
                <w:bCs/>
                <w:sz w:val="18"/>
                <w:szCs w:val="18"/>
              </w:rPr>
              <w:t>备注</w:t>
            </w:r>
          </w:p>
        </w:tc>
      </w:tr>
      <w:tr>
        <w:tblPrEx>
          <w:tblCellMar>
            <w:top w:w="0" w:type="dxa"/>
            <w:left w:w="0" w:type="dxa"/>
            <w:bottom w:w="0" w:type="dxa"/>
            <w:right w:w="0" w:type="dxa"/>
          </w:tblCellMar>
        </w:tblPrEx>
        <w:trPr>
          <w:trHeight w:val="619" w:hRule="exact"/>
        </w:trPr>
        <w:tc>
          <w:tcPr>
            <w:tcW w:w="1671"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3"/>
              <w:jc w:val="center"/>
              <w:rPr>
                <w:rFonts w:ascii="宋体" w:hAnsi="宋体" w:eastAsia="宋体" w:cs="宋体"/>
                <w:sz w:val="18"/>
                <w:szCs w:val="18"/>
              </w:rPr>
            </w:pPr>
            <w:r>
              <w:rPr>
                <w:rFonts w:ascii="宋体" w:hAnsi="宋体" w:eastAsia="宋体"/>
                <w:sz w:val="18"/>
                <w:szCs w:val="18"/>
              </w:rPr>
              <w:t>1</w:t>
            </w:r>
          </w:p>
        </w:tc>
        <w:tc>
          <w:tcPr>
            <w:tcW w:w="4283"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jc w:val="center"/>
              <w:rPr>
                <w:rFonts w:ascii="宋体" w:hAnsi="宋体" w:eastAsia="宋体" w:cs="宋体"/>
                <w:sz w:val="18"/>
                <w:szCs w:val="18"/>
                <w:lang w:eastAsia="zh-CN"/>
              </w:rPr>
            </w:pPr>
            <w:r>
              <w:rPr>
                <w:rFonts w:hint="eastAsia" w:ascii="宋体" w:hAnsi="宋体" w:eastAsia="宋体" w:cs="宋体"/>
                <w:sz w:val="18"/>
                <w:szCs w:val="18"/>
                <w:lang w:eastAsia="zh-CN"/>
              </w:rPr>
              <w:t>院外供应链系统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3"/>
              <w:jc w:val="center"/>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3"/>
                <w:sz w:val="18"/>
                <w:szCs w:val="18"/>
              </w:rPr>
              <w:t>套</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278"/>
              <w:jc w:val="center"/>
              <w:rPr>
                <w:rFonts w:ascii="宋体" w:hAnsi="宋体" w:eastAsia="宋体" w:cs="宋体"/>
                <w:sz w:val="18"/>
                <w:szCs w:val="18"/>
              </w:rPr>
            </w:pPr>
          </w:p>
        </w:tc>
      </w:tr>
      <w:tr>
        <w:tblPrEx>
          <w:tblCellMar>
            <w:top w:w="0" w:type="dxa"/>
            <w:left w:w="0" w:type="dxa"/>
            <w:bottom w:w="0" w:type="dxa"/>
            <w:right w:w="0" w:type="dxa"/>
          </w:tblCellMar>
        </w:tblPrEx>
        <w:trPr>
          <w:trHeight w:val="619" w:hRule="exact"/>
        </w:trPr>
        <w:tc>
          <w:tcPr>
            <w:tcW w:w="1671"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3"/>
              <w:jc w:val="center"/>
              <w:rPr>
                <w:rFonts w:ascii="宋体" w:hAnsi="宋体" w:eastAsia="宋体" w:cs="宋体"/>
                <w:sz w:val="18"/>
                <w:szCs w:val="18"/>
              </w:rPr>
            </w:pPr>
            <w:r>
              <w:rPr>
                <w:rFonts w:ascii="宋体" w:hAnsi="宋体" w:eastAsia="宋体"/>
                <w:sz w:val="18"/>
                <w:szCs w:val="18"/>
              </w:rPr>
              <w:t>2</w:t>
            </w:r>
          </w:p>
        </w:tc>
        <w:tc>
          <w:tcPr>
            <w:tcW w:w="4283"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jc w:val="center"/>
              <w:rPr>
                <w:rFonts w:ascii="宋体" w:hAnsi="宋体" w:eastAsia="宋体" w:cs="宋体"/>
                <w:sz w:val="18"/>
                <w:szCs w:val="18"/>
                <w:lang w:eastAsia="zh-CN"/>
              </w:rPr>
            </w:pPr>
            <w:r>
              <w:rPr>
                <w:rFonts w:hint="eastAsia" w:ascii="宋体" w:hAnsi="宋体" w:eastAsia="宋体" w:cs="宋体"/>
                <w:sz w:val="18"/>
                <w:szCs w:val="18"/>
                <w:lang w:eastAsia="zh-CN"/>
              </w:rPr>
              <w:t>院内物流管理系统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3"/>
              <w:jc w:val="center"/>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3"/>
                <w:sz w:val="18"/>
                <w:szCs w:val="18"/>
              </w:rPr>
              <w:t>套</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278"/>
              <w:jc w:val="center"/>
              <w:rPr>
                <w:rFonts w:ascii="宋体" w:hAnsi="宋体" w:eastAsia="宋体" w:cs="宋体"/>
                <w:sz w:val="18"/>
                <w:szCs w:val="18"/>
              </w:rPr>
            </w:pPr>
          </w:p>
        </w:tc>
      </w:tr>
      <w:tr>
        <w:tblPrEx>
          <w:tblCellMar>
            <w:top w:w="0" w:type="dxa"/>
            <w:left w:w="0" w:type="dxa"/>
            <w:bottom w:w="0" w:type="dxa"/>
            <w:right w:w="0" w:type="dxa"/>
          </w:tblCellMar>
        </w:tblPrEx>
        <w:trPr>
          <w:trHeight w:val="619" w:hRule="exact"/>
        </w:trPr>
        <w:tc>
          <w:tcPr>
            <w:tcW w:w="1671"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3"/>
              <w:jc w:val="center"/>
              <w:rPr>
                <w:rFonts w:ascii="宋体" w:hAnsi="宋体" w:eastAsia="宋体"/>
                <w:sz w:val="18"/>
                <w:szCs w:val="18"/>
                <w:lang w:eastAsia="zh-CN"/>
              </w:rPr>
            </w:pPr>
            <w:r>
              <w:rPr>
                <w:rFonts w:hint="eastAsia" w:ascii="宋体" w:hAnsi="宋体" w:eastAsia="宋体"/>
                <w:sz w:val="18"/>
                <w:szCs w:val="18"/>
                <w:lang w:eastAsia="zh-CN"/>
              </w:rPr>
              <w:t>3</w:t>
            </w:r>
          </w:p>
        </w:tc>
        <w:tc>
          <w:tcPr>
            <w:tcW w:w="4283"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jc w:val="center"/>
              <w:rPr>
                <w:rFonts w:ascii="宋体" w:hAnsi="宋体" w:eastAsia="宋体" w:cs="宋体"/>
                <w:sz w:val="18"/>
                <w:szCs w:val="18"/>
                <w:lang w:eastAsia="zh-CN"/>
              </w:rPr>
            </w:pPr>
            <w:r>
              <w:rPr>
                <w:rFonts w:hint="eastAsia" w:ascii="宋体" w:hAnsi="宋体" w:eastAsia="宋体" w:cs="宋体"/>
                <w:sz w:val="18"/>
                <w:szCs w:val="18"/>
                <w:lang w:eastAsia="zh-CN"/>
              </w:rPr>
              <w:t>信息接口</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left="103"/>
              <w:jc w:val="center"/>
              <w:rPr>
                <w:rFonts w:ascii="宋体" w:hAnsi="宋体" w:eastAsia="宋体" w:cs="宋体"/>
                <w:sz w:val="18"/>
                <w:szCs w:val="18"/>
                <w:lang w:eastAsia="zh-CN"/>
              </w:rPr>
            </w:pPr>
            <w:r>
              <w:rPr>
                <w:rFonts w:hint="eastAsia" w:ascii="宋体" w:hAnsi="宋体" w:eastAsia="宋体" w:cs="宋体"/>
                <w:sz w:val="18"/>
                <w:szCs w:val="18"/>
                <w:lang w:eastAsia="zh-CN"/>
              </w:rPr>
              <w:t>1套</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jc w:val="center"/>
              <w:rPr>
                <w:rFonts w:ascii="宋体" w:hAnsi="宋体" w:eastAsia="宋体" w:cs="宋体"/>
                <w:sz w:val="18"/>
                <w:szCs w:val="18"/>
              </w:rPr>
            </w:pPr>
            <w:r>
              <w:rPr>
                <w:rFonts w:hint="eastAsia" w:ascii="宋体" w:hAnsi="宋体" w:eastAsia="宋体" w:cs="宋体"/>
                <w:sz w:val="18"/>
                <w:szCs w:val="18"/>
                <w:lang w:eastAsia="zh-CN"/>
              </w:rPr>
              <w:t>各系统数据互联互通</w:t>
            </w:r>
          </w:p>
        </w:tc>
      </w:tr>
    </w:tbl>
    <w:p>
      <w:pPr>
        <w:spacing w:before="161" w:line="360" w:lineRule="auto"/>
        <w:ind w:right="105"/>
        <w:rPr>
          <w:rFonts w:cs="Microsoft JhengHei" w:asciiTheme="minorEastAsia" w:hAnsiTheme="minorEastAsia"/>
          <w:b/>
          <w:bCs/>
          <w:color w:val="0D0D0D" w:themeColor="text1" w:themeTint="F2"/>
          <w:sz w:val="24"/>
          <w:szCs w:val="24"/>
          <w:lang w:eastAsia="zh-CN"/>
          <w14:textFill>
            <w14:solidFill>
              <w14:schemeClr w14:val="tx1">
                <w14:lumMod w14:val="95000"/>
                <w14:lumOff w14:val="5000"/>
              </w14:schemeClr>
            </w14:solidFill>
          </w14:textFill>
        </w:rPr>
      </w:pPr>
      <w:r>
        <w:rPr>
          <w:rFonts w:hint="eastAsia" w:cs="Microsoft JhengHei" w:asciiTheme="minorEastAsia" w:hAnsiTheme="minorEastAsia"/>
          <w:b/>
          <w:bCs/>
          <w:color w:val="0D0D0D" w:themeColor="text1" w:themeTint="F2"/>
          <w:sz w:val="24"/>
          <w:szCs w:val="24"/>
          <w:lang w:eastAsia="zh-CN"/>
          <w14:textFill>
            <w14:solidFill>
              <w14:schemeClr w14:val="tx1">
                <w14:lumMod w14:val="95000"/>
                <w14:lumOff w14:val="5000"/>
              </w14:schemeClr>
            </w14:solidFill>
          </w14:textFill>
        </w:rPr>
        <w:t>1、院外供应链系统功能要求</w:t>
      </w:r>
    </w:p>
    <w:tbl>
      <w:tblPr>
        <w:tblStyle w:val="12"/>
        <w:tblW w:w="9634" w:type="dxa"/>
        <w:jc w:val="center"/>
        <w:tblLayout w:type="fixed"/>
        <w:tblCellMar>
          <w:top w:w="0" w:type="dxa"/>
          <w:left w:w="0" w:type="dxa"/>
          <w:bottom w:w="0" w:type="dxa"/>
          <w:right w:w="0" w:type="dxa"/>
        </w:tblCellMar>
      </w:tblPr>
      <w:tblGrid>
        <w:gridCol w:w="1560"/>
        <w:gridCol w:w="1701"/>
        <w:gridCol w:w="6373"/>
      </w:tblGrid>
      <w:tr>
        <w:tblPrEx>
          <w:tblCellMar>
            <w:top w:w="0" w:type="dxa"/>
            <w:left w:w="0" w:type="dxa"/>
            <w:bottom w:w="0" w:type="dxa"/>
            <w:right w:w="0" w:type="dxa"/>
          </w:tblCellMar>
        </w:tblPrEx>
        <w:trPr>
          <w:trHeight w:val="23" w:hRule="atLeast"/>
          <w:jc w:val="center"/>
        </w:trPr>
        <w:tc>
          <w:tcPr>
            <w:tcW w:w="15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子系统模块</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功能菜单</w:t>
            </w:r>
          </w:p>
        </w:tc>
        <w:tc>
          <w:tcPr>
            <w:tcW w:w="6373"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jc w:val="center"/>
              <w:rPr>
                <w:rFonts w:ascii="宋体" w:hAnsi="宋体" w:eastAsia="宋体" w:cs="宋体"/>
                <w:color w:val="FF0000"/>
                <w:sz w:val="18"/>
                <w:szCs w:val="18"/>
                <w:lang w:eastAsia="zh-CN"/>
              </w:rPr>
            </w:pPr>
            <w:r>
              <w:rPr>
                <w:rStyle w:val="17"/>
                <w:rFonts w:hint="eastAsia"/>
                <w:lang w:val="en-US" w:eastAsia="zh-CN" w:bidi="ar"/>
              </w:rPr>
              <w:t>功能描述</w:t>
            </w:r>
          </w:p>
        </w:tc>
      </w:tr>
      <w:tr>
        <w:tblPrEx>
          <w:tblCellMar>
            <w:top w:w="0" w:type="dxa"/>
            <w:left w:w="0" w:type="dxa"/>
            <w:bottom w:w="0" w:type="dxa"/>
            <w:right w:w="0" w:type="dxa"/>
          </w:tblCellMar>
        </w:tblPrEx>
        <w:trPr>
          <w:trHeight w:val="2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Hans" w:bidi="ar"/>
              </w:rPr>
              <w:t>首页</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登录与注册</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消息与待办</w:t>
            </w: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支持由供应商用户自行注册账号，注册成功后可登录系统，支持注册账号时进行相关用户信息真实性验证，如邮箱验证</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支持用户登录系统后，在系统首页查看待办任务、系统公告、证件到期提醒信息，并支持快捷跳转进行处理。</w:t>
            </w:r>
          </w:p>
        </w:tc>
      </w:tr>
      <w:tr>
        <w:tblPrEx>
          <w:tblCellMar>
            <w:top w:w="0" w:type="dxa"/>
            <w:left w:w="0" w:type="dxa"/>
            <w:bottom w:w="0" w:type="dxa"/>
            <w:right w:w="0" w:type="dxa"/>
          </w:tblCellMar>
        </w:tblPrEx>
        <w:trPr>
          <w:trHeight w:val="120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基础信息管理</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供应商管理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生产商管理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耗材数据</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医供关系</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科室库房</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商品分类设置</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医保耗材贯标</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※医疗器械唯一标识管理（UDI）</w:t>
            </w: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支持由供应商用户维护自身企业的基础信息、联系方式</w:t>
            </w:r>
            <w:r>
              <w:rPr>
                <w:rStyle w:val="17"/>
                <w:rFonts w:hint="eastAsia"/>
                <w:lang w:val="en-US" w:eastAsia="zh-Hans" w:bidi="ar"/>
              </w:rPr>
              <w:t>、资质证件</w:t>
            </w:r>
            <w:r>
              <w:rPr>
                <w:rStyle w:val="17"/>
                <w:rFonts w:hint="eastAsia"/>
                <w:lang w:val="en-US" w:eastAsia="zh-CN" w:bidi="ar"/>
              </w:rPr>
              <w:t>等信息；</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支持由供应商用户维护生产厂家的企业基本信息、联系方式</w:t>
            </w:r>
            <w:r>
              <w:rPr>
                <w:rStyle w:val="17"/>
                <w:rFonts w:hint="eastAsia"/>
                <w:lang w:val="en-US" w:eastAsia="zh-Hans" w:bidi="ar"/>
              </w:rPr>
              <w:t>、资质证件等</w:t>
            </w:r>
            <w:r>
              <w:rPr>
                <w:rStyle w:val="17"/>
                <w:rFonts w:hint="eastAsia"/>
                <w:lang w:val="en-US" w:eastAsia="zh-CN" w:bidi="ar"/>
              </w:rPr>
              <w:t>等信息</w:t>
            </w:r>
            <w:r>
              <w:rPr>
                <w:rStyle w:val="17"/>
                <w:rFonts w:hint="eastAsia"/>
                <w:lang w:val="en-US" w:eastAsia="zh-Hans" w:bidi="ar"/>
              </w:rPr>
              <w:t>，由平台审核</w:t>
            </w:r>
            <w:r>
              <w:rPr>
                <w:rStyle w:val="17"/>
                <w:rFonts w:hint="eastAsia"/>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支持医疗集团/医疗机构/供应商从标准数据池中选择耗材信息功能；支持对耗材的基本信息、注册证号、医保代码、UDI信息的变更申请</w:t>
            </w:r>
            <w:r>
              <w:rPr>
                <w:rStyle w:val="17"/>
                <w:rFonts w:hint="eastAsia"/>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4.</w:t>
            </w:r>
            <w:r>
              <w:rPr>
                <w:rStyle w:val="17"/>
                <w:rFonts w:hint="eastAsia"/>
                <w:lang w:val="en-US" w:eastAsia="zh-Hans" w:bidi="ar"/>
              </w:rPr>
              <w:t>支持</w:t>
            </w:r>
            <w:r>
              <w:rPr>
                <w:rStyle w:val="17"/>
                <w:rFonts w:hint="eastAsia"/>
                <w:lang w:val="en-US" w:eastAsia="zh-CN" w:bidi="ar"/>
              </w:rPr>
              <w:t>建立供应商与医疗机构之间的供采关系的功能，已和医疗机构建立供采关系的供应商，方可处理与医疗机构之间的采购业务。</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5.</w:t>
            </w:r>
            <w:r>
              <w:rPr>
                <w:rStyle w:val="17"/>
                <w:rFonts w:hint="eastAsia"/>
                <w:lang w:val="en-US" w:eastAsia="zh-CN" w:bidi="ar"/>
              </w:rPr>
              <w:t>支持医疗机构的采购订单的配送点信息设置，供应商可直接根据配送点进行送货；</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6.</w:t>
            </w:r>
            <w:r>
              <w:rPr>
                <w:rStyle w:val="17"/>
                <w:rFonts w:hint="eastAsia"/>
                <w:lang w:val="en-US" w:eastAsia="zh-CN" w:bidi="ar"/>
              </w:rPr>
              <w:t>支持医疗集团/医疗机构设置自己的物品分类；支持对接院内系统的物品分类同步/下发；</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7.</w:t>
            </w:r>
            <w:r>
              <w:rPr>
                <w:rStyle w:val="17"/>
                <w:rFonts w:hint="eastAsia"/>
                <w:lang w:val="en-US" w:eastAsia="zh-CN" w:bidi="ar"/>
              </w:rPr>
              <w:t>支持按照国家医保局下发的医用耗材统一编码，维护耗材的贯标码</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8.</w:t>
            </w:r>
            <w:r>
              <w:rPr>
                <w:rStyle w:val="17"/>
                <w:rFonts w:hint="eastAsia"/>
                <w:lang w:val="en-US" w:eastAsia="zh-CN" w:bidi="ar"/>
              </w:rPr>
              <w:t>支持按照国家药监局发布的《医疗器械唯一标识系统规则》（即UDI），维护供应商产品目录、医院产品目录、平台产品目录等信息</w:t>
            </w:r>
          </w:p>
        </w:tc>
      </w:tr>
      <w:tr>
        <w:tblPrEx>
          <w:tblCellMar>
            <w:top w:w="0" w:type="dxa"/>
            <w:left w:w="0" w:type="dxa"/>
            <w:bottom w:w="0" w:type="dxa"/>
            <w:right w:w="0" w:type="dxa"/>
          </w:tblCellMar>
        </w:tblPrEx>
        <w:trPr>
          <w:trHeight w:val="37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目录管理</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耗材采购目录</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CN" w:bidi="ar"/>
              </w:rPr>
              <w:t>耗材目录</w:t>
            </w:r>
            <w:r>
              <w:rPr>
                <w:rStyle w:val="17"/>
                <w:rFonts w:hint="eastAsia"/>
                <w:lang w:val="en-US" w:eastAsia="zh-Hans" w:bidi="ar"/>
              </w:rPr>
              <w:t>审核</w:t>
            </w:r>
          </w:p>
          <w:p>
            <w:pPr>
              <w:keepNext w:val="0"/>
              <w:keepLines w:val="0"/>
              <w:widowControl/>
              <w:suppressLineNumbers w:val="0"/>
              <w:jc w:val="center"/>
              <w:textAlignment w:val="center"/>
              <w:rPr>
                <w:rStyle w:val="17"/>
                <w:rFonts w:hint="default"/>
                <w:lang w:val="en-US" w:eastAsia="zh-Hans" w:bidi="ar"/>
              </w:rPr>
            </w:pPr>
            <w:r>
              <w:rPr>
                <w:rStyle w:val="17"/>
                <w:rFonts w:hint="eastAsia"/>
                <w:lang w:val="en-US" w:eastAsia="zh-Hans" w:bidi="ar"/>
              </w:rPr>
              <w:t>调价管理</w:t>
            </w:r>
          </w:p>
          <w:p>
            <w:pPr>
              <w:keepNext w:val="0"/>
              <w:keepLines w:val="0"/>
              <w:widowControl/>
              <w:suppressLineNumbers w:val="0"/>
              <w:jc w:val="center"/>
              <w:textAlignment w:val="center"/>
              <w:rPr>
                <w:rStyle w:val="17"/>
                <w:rFonts w:hint="eastAsia"/>
                <w:lang w:val="en-US" w:eastAsia="zh-CN" w:bidi="ar"/>
              </w:rPr>
            </w:pP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支持医疗集团/医疗机构/供应商维护采购目录，由供应商向医疗机构发起耗材供货申请的功能，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Hans" w:bidi="ar"/>
              </w:rPr>
              <w:t>支持</w:t>
            </w:r>
            <w:r>
              <w:rPr>
                <w:rStyle w:val="17"/>
                <w:rFonts w:hint="eastAsia"/>
                <w:lang w:val="en-US" w:eastAsia="zh-CN" w:bidi="ar"/>
              </w:rPr>
              <w:t>医院审核</w:t>
            </w:r>
            <w:r>
              <w:rPr>
                <w:rStyle w:val="17"/>
                <w:rFonts w:hint="eastAsia"/>
                <w:lang w:val="en-US" w:eastAsia="zh-Hans" w:bidi="ar"/>
              </w:rPr>
              <w:t>供应商提交的耗材采购目录</w:t>
            </w:r>
            <w:r>
              <w:rPr>
                <w:rStyle w:val="17"/>
                <w:rFonts w:hint="eastAsia"/>
                <w:lang w:val="en-US" w:eastAsia="zh-CN" w:bidi="ar"/>
              </w:rPr>
              <w:t>后进入采购目录支持建立供应商与医疗机构之间的供货关系；</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支持平台对物品的采购调价管理，支持对接院内管理系统，将调价单同步至院内系统；支持院内系统上传调价单到平台；支持调价单定时执行调价的功能；</w:t>
            </w:r>
          </w:p>
        </w:tc>
      </w:tr>
      <w:tr>
        <w:tblPrEx>
          <w:tblCellMar>
            <w:top w:w="0" w:type="dxa"/>
            <w:left w:w="0" w:type="dxa"/>
            <w:bottom w:w="0" w:type="dxa"/>
            <w:right w:w="0" w:type="dxa"/>
          </w:tblCellMar>
        </w:tblPrEx>
        <w:trPr>
          <w:trHeight w:val="9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采购管理</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采购计划</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Hans" w:bidi="ar"/>
              </w:rPr>
              <w:t>采购订单</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Hans" w:bidi="ar"/>
              </w:rPr>
              <w:t>商家配送单</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Hans" w:bidi="ar"/>
              </w:rPr>
              <w:t>商家拒配单</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Hans" w:bidi="ar"/>
              </w:rPr>
              <w:t>验收单</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Hans" w:bidi="ar"/>
              </w:rPr>
              <w:t>拒收单</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Hans" w:bidi="ar"/>
              </w:rPr>
              <w:t>退货单</w:t>
            </w: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支持医疗机构采购管理部门用户在系统内发起采购，制作采购</w:t>
            </w:r>
            <w:r>
              <w:rPr>
                <w:rStyle w:val="17"/>
                <w:rFonts w:hint="eastAsia"/>
                <w:lang w:val="en-US" w:eastAsia="zh-Hans" w:bidi="ar"/>
              </w:rPr>
              <w:t>计划</w:t>
            </w:r>
            <w:r>
              <w:rPr>
                <w:rStyle w:val="17"/>
                <w:rFonts w:hint="eastAsia"/>
                <w:lang w:val="en-US" w:eastAsia="zh-CN" w:bidi="ar"/>
              </w:rPr>
              <w:t>采购；</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支持多种形式的订单建立方式，包括：院外供应链平台制单、院内物资管理系统上传订单以及供应商代填等模式</w:t>
            </w:r>
            <w:r>
              <w:rPr>
                <w:rStyle w:val="17"/>
                <w:rFonts w:hint="eastAsia"/>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医疗机构的采购订单审核完成后，采购订单方可流转至供应商，供应商可登录系统后接收新订单提醒、可查看订单信息</w:t>
            </w:r>
            <w:r>
              <w:rPr>
                <w:rStyle w:val="17"/>
                <w:rFonts w:hint="eastAsia"/>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4.</w:t>
            </w:r>
            <w:r>
              <w:rPr>
                <w:rStyle w:val="17"/>
                <w:rFonts w:hint="eastAsia"/>
                <w:lang w:val="en-US" w:eastAsia="zh-CN" w:bidi="ar"/>
              </w:rPr>
              <w:t>支持供应商用户在线处理接收到的医院采购订单</w:t>
            </w:r>
            <w:r>
              <w:rPr>
                <w:rStyle w:val="17"/>
                <w:rFonts w:hint="eastAsia"/>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5.</w:t>
            </w:r>
            <w:r>
              <w:rPr>
                <w:rStyle w:val="17"/>
                <w:rFonts w:hint="eastAsia"/>
                <w:lang w:val="en-US" w:eastAsia="zh-CN" w:bidi="ar"/>
              </w:rPr>
              <w:t>支持供应商用户打印配送单的随货清单信息</w:t>
            </w:r>
            <w:r>
              <w:rPr>
                <w:rStyle w:val="17"/>
                <w:rFonts w:hint="eastAsia"/>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6.</w:t>
            </w:r>
            <w:r>
              <w:rPr>
                <w:rStyle w:val="17"/>
                <w:rFonts w:hint="eastAsia"/>
                <w:lang w:val="en-US" w:eastAsia="zh-CN" w:bidi="ar"/>
              </w:rPr>
              <w:t>支持与医院的院内物资管理系统进行对接，将院内系统的退货信息通过接口上传至供应链系统生成退货单，由供应商用户进行接收确认</w:t>
            </w:r>
            <w:r>
              <w:rPr>
                <w:rStyle w:val="17"/>
                <w:rFonts w:hint="eastAsia"/>
                <w:lang w:val="en-US" w:eastAsia="zh-Hans" w:bidi="ar"/>
              </w:rPr>
              <w:t>。</w:t>
            </w:r>
          </w:p>
        </w:tc>
      </w:tr>
      <w:tr>
        <w:tblPrEx>
          <w:tblCellMar>
            <w:top w:w="0" w:type="dxa"/>
            <w:left w:w="0" w:type="dxa"/>
            <w:bottom w:w="0" w:type="dxa"/>
            <w:right w:w="0" w:type="dxa"/>
          </w:tblCellMar>
        </w:tblPrEx>
        <w:trPr>
          <w:trHeight w:val="60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发票管理</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待开发票</w:t>
            </w:r>
          </w:p>
          <w:p>
            <w:pPr>
              <w:keepNext w:val="0"/>
              <w:keepLines w:val="0"/>
              <w:widowControl/>
              <w:suppressLineNumbers w:val="0"/>
              <w:jc w:val="center"/>
              <w:textAlignment w:val="center"/>
              <w:rPr>
                <w:rStyle w:val="17"/>
                <w:rFonts w:hint="eastAsia"/>
                <w:lang w:val="en-US" w:eastAsia="zh-Hans" w:bidi="ar"/>
              </w:rPr>
            </w:pPr>
            <w:r>
              <w:rPr>
                <w:rStyle w:val="17"/>
                <w:rFonts w:hint="eastAsia"/>
                <w:lang w:val="en-US" w:eastAsia="zh-CN" w:bidi="ar"/>
              </w:rPr>
              <w:t>开票凭证</w:t>
            </w:r>
            <w:r>
              <w:rPr>
                <w:rStyle w:val="17"/>
                <w:rFonts w:hint="eastAsia"/>
                <w:lang w:val="en-US" w:eastAsia="zh-CN" w:bidi="ar"/>
              </w:rPr>
              <w:br w:type="textWrapping"/>
            </w:r>
            <w:r>
              <w:rPr>
                <w:rStyle w:val="17"/>
                <w:rFonts w:hint="eastAsia"/>
                <w:lang w:val="en-US" w:eastAsia="zh-CN" w:bidi="ar"/>
              </w:rPr>
              <w:t>发票</w:t>
            </w:r>
            <w:r>
              <w:rPr>
                <w:rStyle w:val="17"/>
                <w:rFonts w:hint="eastAsia"/>
                <w:lang w:val="en-US" w:eastAsia="zh-Hans" w:bidi="ar"/>
              </w:rPr>
              <w:t>管理</w:t>
            </w:r>
          </w:p>
          <w:p>
            <w:pPr>
              <w:keepNext w:val="0"/>
              <w:keepLines w:val="0"/>
              <w:widowControl/>
              <w:suppressLineNumbers w:val="0"/>
              <w:jc w:val="center"/>
              <w:textAlignment w:val="center"/>
              <w:rPr>
                <w:rStyle w:val="17"/>
                <w:rFonts w:hint="default"/>
                <w:lang w:val="en-US" w:eastAsia="zh-Hans" w:bidi="ar"/>
              </w:rPr>
            </w:pPr>
            <w:r>
              <w:rPr>
                <w:rStyle w:val="17"/>
                <w:rFonts w:hint="eastAsia"/>
                <w:lang w:val="en-US" w:eastAsia="zh-Hans" w:bidi="ar"/>
              </w:rPr>
              <w:t>请款管理</w:t>
            </w: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支持医院和供应商查看需要待开发票的单据信息，包含货票不同行的验收单、退货单，委托代销的开票凭证</w:t>
            </w:r>
            <w:r>
              <w:rPr>
                <w:rStyle w:val="17"/>
                <w:rFonts w:hint="eastAsia"/>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支持对接院内物资管理系统，将院内消耗的供应商寄售物资，汇总生成开票凭证，并将院内开票凭证上传至LiNEX，供应商根据开票凭证进行开票结算</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支持对供应商已开票信息进行查询；支持对接院内物资管理系统，上传供应商开票信息至院内进行发票验收</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4.</w:t>
            </w:r>
            <w:r>
              <w:rPr>
                <w:rStyle w:val="17"/>
                <w:rFonts w:hint="eastAsia"/>
                <w:lang w:val="en-US" w:eastAsia="zh-CN" w:bidi="ar"/>
              </w:rPr>
              <w:t>具备对已验收的发票进行请款管理，具备对同一个供应商，不同类型的采购发票进行统一请款。</w:t>
            </w:r>
          </w:p>
        </w:tc>
      </w:tr>
      <w:tr>
        <w:tblPrEx>
          <w:tblCellMar>
            <w:top w:w="0" w:type="dxa"/>
            <w:left w:w="0" w:type="dxa"/>
            <w:bottom w:w="0" w:type="dxa"/>
            <w:right w:w="0" w:type="dxa"/>
          </w:tblCellMar>
        </w:tblPrEx>
        <w:trPr>
          <w:trHeight w:val="866"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统计查询</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采购分析</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调价统计</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配送分析</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供应商分析</w:t>
            </w: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支持对采购计划的完成度进行单据分析、采购量分析、采购金额分析；支持查看未完成的采购计划明细</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支持统计药品调价次数和调价药品数，支持分析涨价和降价药品数据和幅度。支持查询和导出调价数据</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支持统计分析平均配送周期、最长配送周期、最短配送周期；月配送趋势，支持查询和导出药品和供应商维度的配送周期明细</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4.</w:t>
            </w:r>
            <w:r>
              <w:rPr>
                <w:rStyle w:val="17"/>
                <w:rFonts w:hint="eastAsia"/>
                <w:lang w:val="en-US" w:eastAsia="zh-CN" w:bidi="ar"/>
              </w:rPr>
              <w:t>支持查看供应商的供货占比分析，供应商的交易top10等数据</w:t>
            </w:r>
          </w:p>
        </w:tc>
      </w:tr>
      <w:tr>
        <w:tblPrEx>
          <w:tblCellMar>
            <w:top w:w="0" w:type="dxa"/>
            <w:left w:w="0" w:type="dxa"/>
            <w:bottom w:w="0" w:type="dxa"/>
            <w:right w:w="0" w:type="dxa"/>
          </w:tblCellMar>
        </w:tblPrEx>
        <w:trPr>
          <w:trHeight w:val="30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系统管理</w:t>
            </w:r>
          </w:p>
        </w:tc>
        <w:tc>
          <w:tcPr>
            <w:tcW w:w="170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系统配置管理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用户角色管理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消息通知</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消息订阅</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日志管理</w:t>
            </w:r>
          </w:p>
        </w:tc>
        <w:tc>
          <w:tcPr>
            <w:tcW w:w="637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支持医疗集团/医疗机构/供应商使用平台业务的可调配的基础参数、流程模式、条码类型等功能上的配置管理；</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支持医疗集团/医疗机构/供应商定义自己的操作权限的用户组，按需分配不同的权限配置，达到分级控权目的；支持对用户的分级授权；支持供应商审核注册在自己主体机构下用户账户信息；</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支持对系统中的各类事项进行消息通知；支持证件预警、审批通知、订单通知、结算通知。</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4.</w:t>
            </w:r>
            <w:r>
              <w:rPr>
                <w:rStyle w:val="17"/>
                <w:rFonts w:hint="eastAsia"/>
                <w:lang w:val="en-US" w:eastAsia="zh-CN" w:bidi="ar"/>
              </w:rPr>
              <w:t>支持用户手动进行订阅或取消订阅某一类型的消息通知，取消订阅后将不会收到此类的消息通知</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5.</w:t>
            </w:r>
            <w:r>
              <w:rPr>
                <w:rStyle w:val="17"/>
                <w:rFonts w:hint="eastAsia"/>
                <w:lang w:val="en-US" w:eastAsia="zh-CN" w:bidi="ar"/>
              </w:rPr>
              <w:t>支持医疗集团/医疗机构/供应商对用户登录的日志记录查询；支持记录并查询对系统进行的操作记录；</w:t>
            </w:r>
          </w:p>
        </w:tc>
      </w:tr>
      <w:tr>
        <w:tblPrEx>
          <w:tblCellMar>
            <w:top w:w="0" w:type="dxa"/>
            <w:left w:w="0" w:type="dxa"/>
            <w:bottom w:w="0" w:type="dxa"/>
            <w:right w:w="0" w:type="dxa"/>
          </w:tblCellMar>
        </w:tblPrEx>
        <w:trPr>
          <w:trHeight w:val="916" w:hRule="atLeast"/>
          <w:jc w:val="center"/>
        </w:trPr>
        <w:tc>
          <w:tcPr>
            <w:tcW w:w="15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微信服务号</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※采购订单提醒</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※订单配货提醒</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※配货完成提醒</w:t>
            </w:r>
          </w:p>
        </w:tc>
        <w:tc>
          <w:tcPr>
            <w:tcW w:w="63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1.</w:t>
            </w:r>
            <w:r>
              <w:rPr>
                <w:rStyle w:val="17"/>
                <w:rFonts w:hint="eastAsia"/>
                <w:lang w:val="en-US" w:eastAsia="zh-CN" w:bidi="ar"/>
              </w:rPr>
              <w:t>支持医疗机构制作新采购订单</w:t>
            </w:r>
            <w:r>
              <w:rPr>
                <w:rStyle w:val="17"/>
                <w:rFonts w:hint="eastAsia"/>
                <w:lang w:val="en-US" w:eastAsia="zh-CN" w:bidi="ar"/>
              </w:rPr>
              <w:t>完成后，通过微信服务号发送提醒至订单对应的供应商，提醒供应商有新订单需要配送；</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2.</w:t>
            </w:r>
            <w:r>
              <w:rPr>
                <w:rStyle w:val="17"/>
                <w:rFonts w:hint="eastAsia"/>
                <w:lang w:val="en-US" w:eastAsia="zh-CN" w:bidi="ar"/>
              </w:rPr>
              <w:t>支持供应商对订单进行配货出库后，通过微信服务号发送提醒至医疗机构，提醒医疗机构用户订单的动态有更新</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default"/>
                <w:lang w:val="en-US" w:eastAsia="zh-CN" w:bidi="ar"/>
              </w:rPr>
              <w:t>3.</w:t>
            </w:r>
            <w:r>
              <w:rPr>
                <w:rStyle w:val="17"/>
                <w:rFonts w:hint="eastAsia"/>
                <w:lang w:val="en-US" w:eastAsia="zh-CN" w:bidi="ar"/>
              </w:rPr>
              <w:t>支持供应商完成订单配送，通过微信服务号发送提醒至医疗机构</w:t>
            </w:r>
          </w:p>
        </w:tc>
      </w:tr>
    </w:tbl>
    <w:p>
      <w:pPr>
        <w:spacing w:before="161" w:line="360" w:lineRule="auto"/>
        <w:ind w:right="105"/>
        <w:rPr>
          <w:rFonts w:cs="Microsoft JhengHei" w:asciiTheme="minorEastAsia" w:hAnsiTheme="minorEastAsia"/>
          <w:b/>
          <w:bCs/>
          <w:color w:val="0D0D0D" w:themeColor="text1" w:themeTint="F2"/>
          <w:sz w:val="24"/>
          <w:szCs w:val="24"/>
          <w:lang w:eastAsia="zh-CN"/>
          <w14:textFill>
            <w14:solidFill>
              <w14:schemeClr w14:val="tx1">
                <w14:lumMod w14:val="95000"/>
                <w14:lumOff w14:val="5000"/>
              </w14:schemeClr>
            </w14:solidFill>
          </w14:textFill>
        </w:rPr>
      </w:pPr>
      <w:r>
        <w:rPr>
          <w:rFonts w:hint="eastAsia" w:cs="Microsoft JhengHei" w:asciiTheme="minorEastAsia" w:hAnsiTheme="minorEastAsia"/>
          <w:b/>
          <w:bCs/>
          <w:color w:val="0D0D0D" w:themeColor="text1" w:themeTint="F2"/>
          <w:sz w:val="24"/>
          <w:szCs w:val="24"/>
          <w:lang w:eastAsia="zh-CN"/>
          <w14:textFill>
            <w14:solidFill>
              <w14:schemeClr w14:val="tx1">
                <w14:lumMod w14:val="95000"/>
                <w14:lumOff w14:val="5000"/>
              </w14:schemeClr>
            </w14:solidFill>
          </w14:textFill>
        </w:rPr>
        <w:t>2、院内物流管理系统功能要求</w:t>
      </w:r>
    </w:p>
    <w:tbl>
      <w:tblPr>
        <w:tblStyle w:val="12"/>
        <w:tblW w:w="9659" w:type="dxa"/>
        <w:jc w:val="center"/>
        <w:tblLayout w:type="fixed"/>
        <w:tblCellMar>
          <w:top w:w="0" w:type="dxa"/>
          <w:left w:w="0" w:type="dxa"/>
          <w:bottom w:w="0" w:type="dxa"/>
          <w:right w:w="0" w:type="dxa"/>
        </w:tblCellMar>
      </w:tblPr>
      <w:tblGrid>
        <w:gridCol w:w="1696"/>
        <w:gridCol w:w="1701"/>
        <w:gridCol w:w="6262"/>
      </w:tblGrid>
      <w:tr>
        <w:tblPrEx>
          <w:tblCellMar>
            <w:top w:w="0" w:type="dxa"/>
            <w:left w:w="0" w:type="dxa"/>
            <w:bottom w:w="0" w:type="dxa"/>
            <w:right w:w="0" w:type="dxa"/>
          </w:tblCellMar>
        </w:tblPrEx>
        <w:trPr>
          <w:trHeight w:val="23" w:hRule="atLeast"/>
          <w:jc w:val="center"/>
        </w:trPr>
        <w:tc>
          <w:tcPr>
            <w:tcW w:w="169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子系统模块</w:t>
            </w:r>
          </w:p>
        </w:tc>
        <w:tc>
          <w:tcPr>
            <w:tcW w:w="17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功能菜单</w:t>
            </w:r>
          </w:p>
        </w:tc>
        <w:tc>
          <w:tcPr>
            <w:tcW w:w="626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功能描述</w:t>
            </w:r>
          </w:p>
        </w:tc>
      </w:tr>
      <w:tr>
        <w:tblPrEx>
          <w:tblCellMar>
            <w:top w:w="0" w:type="dxa"/>
            <w:left w:w="0" w:type="dxa"/>
            <w:bottom w:w="0" w:type="dxa"/>
            <w:right w:w="0" w:type="dxa"/>
          </w:tblCellMar>
        </w:tblPrEx>
        <w:trPr>
          <w:trHeight w:val="2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运营管理</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物流运营数据指标统计</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库存量监控</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效期监控</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待办事项</w:t>
            </w:r>
          </w:p>
        </w:tc>
        <w:tc>
          <w:tcPr>
            <w:tcW w:w="6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支持展示物流运营数据指标统计、库存量监控、效期监控、待办事项等内容</w:t>
            </w:r>
          </w:p>
        </w:tc>
      </w:tr>
      <w:tr>
        <w:tblPrEx>
          <w:tblCellMar>
            <w:top w:w="0" w:type="dxa"/>
            <w:left w:w="0" w:type="dxa"/>
            <w:bottom w:w="0" w:type="dxa"/>
            <w:right w:w="0" w:type="dxa"/>
          </w:tblCellMar>
        </w:tblPrEx>
        <w:trPr>
          <w:trHeight w:val="2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基础管理</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系统管理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运营配置</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运营管理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基础数据</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资质管理</w:t>
            </w:r>
          </w:p>
        </w:tc>
        <w:tc>
          <w:tcPr>
            <w:tcW w:w="6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1.支持参数设置、条形码设置等功能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2.支持自动补货设置、单据号规则设置、波次设置等功能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3.支持维护耗材基础信息、默认货位、定数、箱规数、库存上下限。</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4.支持设置库房内的货区、货位。</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5.支持耗材基础数据管理。</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6.支持耗材资质电子化管理</w:t>
            </w:r>
          </w:p>
        </w:tc>
      </w:tr>
      <w:tr>
        <w:tblPrEx>
          <w:tblCellMar>
            <w:top w:w="0" w:type="dxa"/>
            <w:left w:w="0" w:type="dxa"/>
            <w:bottom w:w="0" w:type="dxa"/>
            <w:right w:w="0" w:type="dxa"/>
          </w:tblCellMar>
        </w:tblPrEx>
        <w:trPr>
          <w:trHeight w:val="24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一级库库管理</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采购管理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入库赋码验收上架</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出库加工</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期初入库</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货位管理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物资盘点管理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退货管理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退库接收</w:t>
            </w:r>
          </w:p>
        </w:tc>
        <w:tc>
          <w:tcPr>
            <w:tcW w:w="6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1.支持用户手动制作采购计划，也可以根据一级库库存上下限自动生成采购计划</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2.支持根据配送单明细来对物资进行生成物流码，打印出来条码后，粘贴物流码</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3.支持对推送过来的每个定数包进行验收</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4.支持完成入库上架的功能。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5.已经上架完成的单据，支持进行入库确认</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6.支持查看不同类型的出库单，支持按系统自动生成的单据出库，支持手动配置出库的详细物资。</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7.支持按照拣货任务单的提示，去到对应的货位上拣选物资，扫描单元包条码进行物资下架。</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8.支持加工完定数包后，由物流人员对下送物资进行复核，复核无误后，打印出库单后推送到各个科室。</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9.※支持对单元包进行出库加工、自由拆分。核销码打印功能，支持打印出所有需要核销物资的核销码。</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10.支持期初导入后，进行赋码加工。</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11.支持库房内单元包在货位之间移位。</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12.支持对库房物资进行盘点，支持明盘、暗盘，也支持按库房盘点、按物资盘点。</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13.支持一级库退货给供应商</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14.支持接受二级库退库并在一级库上架。</w:t>
            </w:r>
          </w:p>
        </w:tc>
      </w:tr>
      <w:tr>
        <w:tblPrEx>
          <w:tblCellMar>
            <w:top w:w="0" w:type="dxa"/>
            <w:left w:w="0" w:type="dxa"/>
            <w:bottom w:w="0" w:type="dxa"/>
            <w:right w:w="0" w:type="dxa"/>
          </w:tblCellMar>
        </w:tblPrEx>
        <w:trPr>
          <w:trHeight w:val="24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二级库管理</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二级库入库上架</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出库消耗</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货位移动</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库房调拨管理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退库管理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消耗退库</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物资盘点管理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期初入库</w:t>
            </w:r>
          </w:p>
        </w:tc>
        <w:tc>
          <w:tcPr>
            <w:tcW w:w="6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1.支持一级库推送过来的出库单，二级库进行接收；</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2.支持对推送过来的每个定数包进行验收</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3.支持验收完成的合格的物资，进行货位管理</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4.支持上架完成后，二级库的人员在系统上进行入库确认</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5.二级库扫描单元包码，进行拆包消耗，计费类物资进入核销流程。支持按物资、6.单元包码查询消耗记录。</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7.支持二级库货位移动、盘点管理、库房调拨、二级库退库、二级库期初入库等功能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8.物资拆包后未核销计费时，支持退库。</w:t>
            </w:r>
          </w:p>
        </w:tc>
      </w:tr>
      <w:tr>
        <w:tblPrEx>
          <w:tblCellMar>
            <w:top w:w="0" w:type="dxa"/>
            <w:left w:w="0" w:type="dxa"/>
            <w:bottom w:w="0" w:type="dxa"/>
            <w:right w:w="0" w:type="dxa"/>
          </w:tblCellMar>
        </w:tblPrEx>
        <w:trPr>
          <w:trHeight w:val="1208"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三级库管理</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※三级库库存管理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※三级库报损管理</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※可收费耗材核销管理</w:t>
            </w:r>
          </w:p>
        </w:tc>
        <w:tc>
          <w:tcPr>
            <w:tcW w:w="6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1.支持对三级库的库存进行查询，包括品规、数量、批号、效期；</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2.支持对三级库的库存进行报损，计入科室成本中；</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3.支持可收费耗材核销管理</w:t>
            </w:r>
          </w:p>
        </w:tc>
      </w:tr>
      <w:tr>
        <w:tblPrEx>
          <w:tblCellMar>
            <w:top w:w="0" w:type="dxa"/>
            <w:left w:w="0" w:type="dxa"/>
            <w:bottom w:w="0" w:type="dxa"/>
            <w:right w:w="0" w:type="dxa"/>
          </w:tblCellMar>
        </w:tblPrEx>
        <w:trPr>
          <w:trHeight w:val="9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查询管理</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一级库查询</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二级库查询</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科室消耗查询</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货区货位查询</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单元包条码追溯查询</w:t>
            </w:r>
          </w:p>
          <w:p>
            <w:pPr>
              <w:keepNext w:val="0"/>
              <w:keepLines w:val="0"/>
              <w:widowControl/>
              <w:suppressLineNumbers w:val="0"/>
              <w:jc w:val="center"/>
              <w:textAlignment w:val="center"/>
              <w:rPr>
                <w:rStyle w:val="17"/>
                <w:rFonts w:hint="eastAsia"/>
                <w:lang w:val="en-US" w:eastAsia="zh-CN" w:bidi="ar"/>
              </w:rPr>
            </w:pPr>
            <w:r>
              <w:rPr>
                <w:rStyle w:val="17"/>
                <w:rFonts w:hint="eastAsia"/>
                <w:lang w:val="en-US" w:eastAsia="zh-CN" w:bidi="ar"/>
              </w:rPr>
              <w:t>结算数据查询</w:t>
            </w:r>
          </w:p>
        </w:tc>
        <w:tc>
          <w:tcPr>
            <w:tcW w:w="6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1.支持一级库待配货任务查询、库存查询、入库查询、出库查询；</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2.支持二级库库存查询、入库查询；</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3.支持科室消耗查询功能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4.支持货区货位查询功能</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5.支持补打条码。</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Style w:val="17"/>
                <w:rFonts w:hint="eastAsia"/>
                <w:lang w:val="en-US" w:eastAsia="zh-CN" w:bidi="ar"/>
              </w:rPr>
            </w:pPr>
            <w:r>
              <w:rPr>
                <w:rStyle w:val="17"/>
                <w:rFonts w:hint="eastAsia"/>
                <w:lang w:val="en-US" w:eastAsia="zh-CN" w:bidi="ar"/>
              </w:rPr>
              <w:t>6.支持单元包追溯</w:t>
            </w:r>
          </w:p>
        </w:tc>
      </w:tr>
    </w:tbl>
    <w:p>
      <w:pPr>
        <w:spacing w:before="161" w:line="360" w:lineRule="auto"/>
        <w:ind w:right="105"/>
        <w:rPr>
          <w:rFonts w:ascii="宋体" w:hAnsi="宋体" w:eastAsia="宋体" w:cs="Microsoft JhengHei"/>
          <w:b/>
          <w:bCs/>
          <w:color w:val="FF0000"/>
          <w:sz w:val="24"/>
          <w:szCs w:val="24"/>
          <w:lang w:eastAsia="zh-CN"/>
        </w:rPr>
      </w:pPr>
      <w:r>
        <w:rPr>
          <w:rStyle w:val="17"/>
          <w:rFonts w:hint="eastAsia"/>
          <w:sz w:val="22"/>
          <w:szCs w:val="22"/>
          <w:lang w:val="en-US" w:eastAsia="zh-CN" w:bidi="ar"/>
        </w:rPr>
        <w:t>3、系统技术参数</w:t>
      </w:r>
    </w:p>
    <w:tbl>
      <w:tblPr>
        <w:tblStyle w:val="12"/>
        <w:tblW w:w="9639" w:type="dxa"/>
        <w:tblInd w:w="-5" w:type="dxa"/>
        <w:tblLayout w:type="fixed"/>
        <w:tblCellMar>
          <w:top w:w="0" w:type="dxa"/>
          <w:left w:w="0" w:type="dxa"/>
          <w:bottom w:w="0" w:type="dxa"/>
          <w:right w:w="0" w:type="dxa"/>
        </w:tblCellMar>
      </w:tblPr>
      <w:tblGrid>
        <w:gridCol w:w="2268"/>
        <w:gridCol w:w="7371"/>
      </w:tblGrid>
      <w:tr>
        <w:tblPrEx>
          <w:tblCellMar>
            <w:top w:w="0" w:type="dxa"/>
            <w:left w:w="0" w:type="dxa"/>
            <w:bottom w:w="0" w:type="dxa"/>
            <w:right w:w="0" w:type="dxa"/>
          </w:tblCellMar>
        </w:tblPrEx>
        <w:trPr>
          <w:trHeight w:val="23"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r>
              <w:rPr>
                <w:rStyle w:val="17"/>
                <w:rFonts w:hint="eastAsia"/>
                <w:lang w:val="en-US" w:eastAsia="zh-CN" w:bidi="ar"/>
              </w:rPr>
              <w:t>系统名称</w:t>
            </w:r>
          </w:p>
        </w:tc>
        <w:tc>
          <w:tcPr>
            <w:tcW w:w="7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具体技术参数与描述</w:t>
            </w:r>
          </w:p>
        </w:tc>
      </w:tr>
      <w:tr>
        <w:tblPrEx>
          <w:tblCellMar>
            <w:top w:w="0" w:type="dxa"/>
            <w:left w:w="0" w:type="dxa"/>
            <w:bottom w:w="0" w:type="dxa"/>
            <w:right w:w="0" w:type="dxa"/>
          </w:tblCellMar>
        </w:tblPrEx>
        <w:trPr>
          <w:trHeight w:val="23" w:hRule="atLeast"/>
        </w:trPr>
        <w:tc>
          <w:tcPr>
            <w:tcW w:w="226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r>
              <w:rPr>
                <w:rStyle w:val="17"/>
                <w:rFonts w:hint="eastAsia"/>
                <w:lang w:val="en-US" w:eastAsia="zh-CN" w:bidi="ar"/>
              </w:rPr>
              <w:t>院外供应链系统</w:t>
            </w:r>
          </w:p>
        </w:tc>
        <w:tc>
          <w:tcPr>
            <w:tcW w:w="7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使用</w:t>
            </w:r>
            <w:r>
              <w:rPr>
                <w:rStyle w:val="17"/>
                <w:rFonts w:hint="default"/>
                <w:lang w:val="en-US" w:eastAsia="zh-CN" w:bidi="ar"/>
              </w:rPr>
              <w:t>J</w:t>
            </w:r>
            <w:r>
              <w:rPr>
                <w:rStyle w:val="17"/>
                <w:rFonts w:hint="eastAsia"/>
                <w:lang w:val="en-US" w:eastAsia="zh-Hans" w:bidi="ar"/>
              </w:rPr>
              <w:t>ava</w:t>
            </w:r>
            <w:r>
              <w:rPr>
                <w:rStyle w:val="17"/>
                <w:rFonts w:hint="eastAsia"/>
                <w:lang w:val="en-US" w:eastAsia="zh-CN" w:bidi="ar"/>
              </w:rPr>
              <w:t>语言开发；使用缓存技术和异步多线程技术。</w:t>
            </w:r>
          </w:p>
        </w:tc>
      </w:tr>
      <w:tr>
        <w:tblPrEx>
          <w:tblCellMar>
            <w:top w:w="0" w:type="dxa"/>
            <w:left w:w="0" w:type="dxa"/>
            <w:bottom w:w="0" w:type="dxa"/>
            <w:right w:w="0" w:type="dxa"/>
          </w:tblCellMar>
        </w:tblPrEx>
        <w:trPr>
          <w:trHeight w:val="23" w:hRule="atLeast"/>
        </w:trPr>
        <w:tc>
          <w:tcPr>
            <w:tcW w:w="2268"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p>
        </w:tc>
        <w:tc>
          <w:tcPr>
            <w:tcW w:w="7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支持通用的64位Windows操作系统，支持数据库MS SQL Server 2012R2，64位</w:t>
            </w:r>
          </w:p>
        </w:tc>
      </w:tr>
      <w:tr>
        <w:tblPrEx>
          <w:tblCellMar>
            <w:top w:w="0" w:type="dxa"/>
            <w:left w:w="0" w:type="dxa"/>
            <w:bottom w:w="0" w:type="dxa"/>
            <w:right w:w="0" w:type="dxa"/>
          </w:tblCellMar>
        </w:tblPrEx>
        <w:trPr>
          <w:trHeight w:val="23" w:hRule="atLeast"/>
        </w:trPr>
        <w:tc>
          <w:tcPr>
            <w:tcW w:w="2268"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p>
        </w:tc>
        <w:tc>
          <w:tcPr>
            <w:tcW w:w="7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支持不同系统数据同步；支持二次开发；具有完善的连接池技术。</w:t>
            </w:r>
          </w:p>
        </w:tc>
      </w:tr>
      <w:tr>
        <w:tblPrEx>
          <w:tblCellMar>
            <w:top w:w="0" w:type="dxa"/>
            <w:left w:w="0" w:type="dxa"/>
            <w:bottom w:w="0" w:type="dxa"/>
            <w:right w:w="0" w:type="dxa"/>
          </w:tblCellMar>
        </w:tblPrEx>
        <w:trPr>
          <w:trHeight w:val="23" w:hRule="atLeast"/>
        </w:trPr>
        <w:tc>
          <w:tcPr>
            <w:tcW w:w="2268"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p>
        </w:tc>
        <w:tc>
          <w:tcPr>
            <w:tcW w:w="7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支持不同系统数据同步；支持二次开发；具有完善的连接池技术。</w:t>
            </w:r>
          </w:p>
        </w:tc>
      </w:tr>
      <w:tr>
        <w:tblPrEx>
          <w:tblCellMar>
            <w:top w:w="0" w:type="dxa"/>
            <w:left w:w="0" w:type="dxa"/>
            <w:bottom w:w="0" w:type="dxa"/>
            <w:right w:w="0" w:type="dxa"/>
          </w:tblCellMar>
        </w:tblPrEx>
        <w:trPr>
          <w:trHeight w:val="23" w:hRule="atLeast"/>
        </w:trPr>
        <w:tc>
          <w:tcPr>
            <w:tcW w:w="226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p>
        </w:tc>
        <w:tc>
          <w:tcPr>
            <w:tcW w:w="7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支持报表动态创建和查询。</w:t>
            </w:r>
          </w:p>
        </w:tc>
      </w:tr>
      <w:tr>
        <w:tblPrEx>
          <w:tblCellMar>
            <w:top w:w="0" w:type="dxa"/>
            <w:left w:w="0" w:type="dxa"/>
            <w:bottom w:w="0" w:type="dxa"/>
            <w:right w:w="0" w:type="dxa"/>
          </w:tblCellMar>
        </w:tblPrEx>
        <w:trPr>
          <w:trHeight w:val="23" w:hRule="atLeast"/>
        </w:trPr>
        <w:tc>
          <w:tcPr>
            <w:tcW w:w="226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7"/>
                <w:lang w:val="en-US" w:eastAsia="zh-CN" w:bidi="ar"/>
              </w:rPr>
            </w:pPr>
            <w:r>
              <w:rPr>
                <w:rStyle w:val="17"/>
                <w:rFonts w:hint="eastAsia"/>
                <w:lang w:val="en-US" w:eastAsia="zh-CN" w:bidi="ar"/>
              </w:rPr>
              <w:t>院内物流管理系统</w:t>
            </w:r>
          </w:p>
        </w:tc>
        <w:tc>
          <w:tcPr>
            <w:tcW w:w="73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使用.Net平台C#语言开发；使用缓存技术和异步多线程技术。</w:t>
            </w:r>
          </w:p>
        </w:tc>
      </w:tr>
      <w:tr>
        <w:tblPrEx>
          <w:tblCellMar>
            <w:top w:w="0" w:type="dxa"/>
            <w:left w:w="0" w:type="dxa"/>
            <w:bottom w:w="0" w:type="dxa"/>
            <w:right w:w="0" w:type="dxa"/>
          </w:tblCellMar>
        </w:tblPrEx>
        <w:trPr>
          <w:trHeight w:val="23" w:hRule="atLeast"/>
        </w:trPr>
        <w:tc>
          <w:tcPr>
            <w:tcW w:w="2268"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p>
        </w:tc>
        <w:tc>
          <w:tcPr>
            <w:tcW w:w="73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支持通用的64位Windows操作系统；</w:t>
            </w:r>
          </w:p>
        </w:tc>
      </w:tr>
      <w:tr>
        <w:tblPrEx>
          <w:tblCellMar>
            <w:top w:w="0" w:type="dxa"/>
            <w:left w:w="0" w:type="dxa"/>
            <w:bottom w:w="0" w:type="dxa"/>
            <w:right w:w="0" w:type="dxa"/>
          </w:tblCellMar>
        </w:tblPrEx>
        <w:trPr>
          <w:trHeight w:val="23" w:hRule="atLeast"/>
        </w:trPr>
        <w:tc>
          <w:tcPr>
            <w:tcW w:w="226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Style w:val="17"/>
                <w:lang w:val="en-US" w:eastAsia="zh-CN" w:bidi="ar"/>
              </w:rPr>
            </w:pPr>
          </w:p>
        </w:tc>
        <w:tc>
          <w:tcPr>
            <w:tcW w:w="7371" w:type="dxa"/>
            <w:tcBorders>
              <w:top w:val="single" w:color="000000" w:sz="4" w:space="0"/>
              <w:left w:val="single" w:color="000000" w:sz="4" w:space="0"/>
              <w:bottom w:val="single" w:color="auto" w:sz="4" w:space="0"/>
              <w:right w:val="single" w:color="000000" w:sz="4" w:space="0"/>
            </w:tcBorders>
          </w:tcPr>
          <w:p>
            <w:pPr>
              <w:keepNext w:val="0"/>
              <w:keepLines w:val="0"/>
              <w:widowControl/>
              <w:suppressLineNumbers w:val="0"/>
              <w:jc w:val="left"/>
              <w:textAlignment w:val="center"/>
              <w:rPr>
                <w:rStyle w:val="17"/>
                <w:lang w:val="en-US" w:eastAsia="zh-CN" w:bidi="ar"/>
              </w:rPr>
            </w:pPr>
            <w:r>
              <w:rPr>
                <w:rStyle w:val="17"/>
                <w:rFonts w:hint="eastAsia"/>
                <w:lang w:val="en-US" w:eastAsia="zh-CN" w:bidi="ar"/>
              </w:rPr>
              <w:t>支持数据库MS SQL Server 2012R2，64位</w:t>
            </w:r>
          </w:p>
        </w:tc>
      </w:tr>
    </w:tbl>
    <w:p>
      <w:pPr>
        <w:pStyle w:val="13"/>
        <w:numPr>
          <w:ilvl w:val="0"/>
          <w:numId w:val="0"/>
        </w:numPr>
        <w:spacing w:before="161" w:line="360" w:lineRule="auto"/>
        <w:ind w:right="105" w:rightChars="0"/>
        <w:outlineLvl w:val="1"/>
        <w:rPr>
          <w:rFonts w:cs="Microsoft JhengHei" w:asciiTheme="minorEastAsia" w:hAnsiTheme="minorEastAsia"/>
          <w:b/>
          <w:bCs/>
          <w:sz w:val="24"/>
          <w:szCs w:val="24"/>
          <w:lang w:eastAsia="zh-CN"/>
        </w:rPr>
      </w:pPr>
      <w:r>
        <w:rPr>
          <w:rFonts w:hint="default" w:cs="Microsoft JhengHei" w:asciiTheme="minorEastAsia" w:hAnsiTheme="minorEastAsia" w:eastAsiaTheme="minorEastAsia"/>
          <w:b/>
          <w:bCs/>
          <w:sz w:val="24"/>
          <w:szCs w:val="24"/>
          <w:lang w:val="en-US" w:eastAsia="zh-CN" w:bidi="ar-SA"/>
        </w:rPr>
        <w:t>三、</w:t>
      </w:r>
      <w:r>
        <w:rPr>
          <w:rFonts w:hint="eastAsia" w:cs="Microsoft JhengHei" w:asciiTheme="minorEastAsia" w:hAnsiTheme="minorEastAsia"/>
          <w:b/>
          <w:bCs/>
          <w:sz w:val="24"/>
          <w:szCs w:val="24"/>
          <w:lang w:eastAsia="zh-CN"/>
        </w:rPr>
        <w:t>硬件配置要求</w:t>
      </w:r>
    </w:p>
    <w:tbl>
      <w:tblPr>
        <w:tblStyle w:val="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35"/>
        <w:gridCol w:w="3613"/>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before="161" w:line="360" w:lineRule="auto"/>
              <w:ind w:right="105"/>
              <w:jc w:val="center"/>
              <w:rPr>
                <w:rFonts w:ascii="宋体" w:hAnsi="宋体" w:eastAsia="宋体" w:cs="Microsoft JhengHei"/>
                <w:bCs/>
                <w:sz w:val="18"/>
                <w:szCs w:val="18"/>
              </w:rPr>
            </w:pPr>
            <w:r>
              <w:rPr>
                <w:rFonts w:hint="eastAsia" w:ascii="宋体" w:hAnsi="宋体" w:eastAsia="宋体" w:cs="Microsoft JhengHei"/>
                <w:bCs/>
                <w:sz w:val="18"/>
                <w:szCs w:val="18"/>
              </w:rPr>
              <w:t>序号</w:t>
            </w:r>
          </w:p>
        </w:tc>
        <w:tc>
          <w:tcPr>
            <w:tcW w:w="2035" w:type="dxa"/>
            <w:vAlign w:val="center"/>
          </w:tcPr>
          <w:p>
            <w:pPr>
              <w:spacing w:before="161" w:line="360" w:lineRule="auto"/>
              <w:ind w:right="105"/>
              <w:jc w:val="center"/>
              <w:rPr>
                <w:rFonts w:ascii="宋体" w:hAnsi="宋体" w:eastAsia="宋体" w:cs="Microsoft JhengHei"/>
                <w:bCs/>
                <w:sz w:val="18"/>
                <w:szCs w:val="18"/>
              </w:rPr>
            </w:pPr>
            <w:r>
              <w:rPr>
                <w:rFonts w:hint="eastAsia" w:ascii="宋体" w:hAnsi="宋体" w:eastAsia="宋体" w:cs="Microsoft JhengHei"/>
                <w:bCs/>
                <w:sz w:val="18"/>
                <w:szCs w:val="18"/>
              </w:rPr>
              <w:t>名称</w:t>
            </w:r>
          </w:p>
        </w:tc>
        <w:tc>
          <w:tcPr>
            <w:tcW w:w="3613" w:type="dxa"/>
            <w:vAlign w:val="center"/>
          </w:tcPr>
          <w:p>
            <w:pPr>
              <w:spacing w:before="161" w:line="360" w:lineRule="auto"/>
              <w:ind w:right="105"/>
              <w:jc w:val="center"/>
              <w:rPr>
                <w:rFonts w:ascii="宋体" w:hAnsi="宋体" w:eastAsia="宋体" w:cs="Microsoft JhengHei"/>
                <w:bCs/>
                <w:sz w:val="18"/>
                <w:szCs w:val="18"/>
              </w:rPr>
            </w:pPr>
            <w:r>
              <w:rPr>
                <w:rFonts w:hint="eastAsia" w:ascii="宋体" w:hAnsi="宋体" w:eastAsia="宋体" w:cs="Microsoft JhengHei"/>
                <w:bCs/>
                <w:sz w:val="18"/>
                <w:szCs w:val="18"/>
                <w:lang w:eastAsia="zh-CN"/>
              </w:rPr>
              <w:t>场景</w:t>
            </w:r>
            <w:r>
              <w:rPr>
                <w:rFonts w:hint="eastAsia" w:ascii="宋体" w:hAnsi="宋体" w:eastAsia="宋体" w:cs="Microsoft JhengHei"/>
                <w:bCs/>
                <w:sz w:val="18"/>
                <w:szCs w:val="18"/>
              </w:rPr>
              <w:t>及说明</w:t>
            </w:r>
          </w:p>
        </w:tc>
        <w:tc>
          <w:tcPr>
            <w:tcW w:w="3469" w:type="dxa"/>
          </w:tcPr>
          <w:p>
            <w:pPr>
              <w:spacing w:before="161" w:line="360" w:lineRule="auto"/>
              <w:ind w:right="105"/>
              <w:jc w:val="center"/>
              <w:rPr>
                <w:rFonts w:hint="eastAsia" w:ascii="宋体" w:hAnsi="宋体" w:eastAsia="宋体" w:cs="Microsoft JhengHei"/>
                <w:bCs/>
                <w:sz w:val="18"/>
                <w:szCs w:val="18"/>
                <w:lang w:eastAsia="zh-CN"/>
              </w:rPr>
            </w:pPr>
            <w:r>
              <w:rPr>
                <w:rFonts w:hint="eastAsia" w:ascii="宋体" w:hAnsi="宋体" w:eastAsia="宋体" w:cs="Microsoft JhengHei"/>
                <w:bCs/>
                <w:sz w:val="18"/>
                <w:szCs w:val="18"/>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信息化设备（电脑）</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中心库及办公使用</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4</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2</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信息化设备（PDA 4G版）</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中心库及二级库扫码使用</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3</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信息化设备（服务器）</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部署SPD软件，虚拟化技术</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4</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条码工业级打印机</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赋码及加工使用</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5</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激光打印机</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中心库办公使用</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6</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针式打印机</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中心库打印单据使用</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7</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物流标准箱</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中心库到二级库物资转运</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8</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转运车</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一级库到科室物资转运</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9</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拣货车</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中心库拣货</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10</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操作台</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加工货物、验收区使用，手术室</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11</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货架</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用于存放拆零物资</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12</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托盘</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用于码放整件物资</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13</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加工袋</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打包单元包</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14</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文件柜</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储存合同等文件</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15</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VI制作</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Style w:val="17"/>
                <w:lang w:val="en-US" w:eastAsia="zh-CN" w:bidi="ar"/>
              </w:rPr>
              <w:t>中心库、办公区、二级库Ⅵ制作与安装</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16</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办公用品</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剪刀、计算器、订书机等</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17</w:t>
            </w:r>
          </w:p>
        </w:tc>
        <w:tc>
          <w:tcPr>
            <w:tcW w:w="2035"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条码打印纸</w:t>
            </w:r>
          </w:p>
        </w:tc>
        <w:tc>
          <w:tcPr>
            <w:tcW w:w="3613" w:type="dxa"/>
            <w:vAlign w:val="center"/>
          </w:tcPr>
          <w:p>
            <w:pPr>
              <w:keepNext w:val="0"/>
              <w:keepLines w:val="0"/>
              <w:widowControl/>
              <w:suppressLineNumbers w:val="0"/>
              <w:jc w:val="center"/>
              <w:textAlignment w:val="center"/>
              <w:rPr>
                <w:rFonts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蓝色双层</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18</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条码打印纸</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粉色单层</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19</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饮水机</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冷热制水</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20</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磁性货架贴</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4.5厘米*6厘米白色磁贴</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21</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打印纸</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A4，三联纸</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22</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办公用具</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板凳，清洁工具等</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r>
              <w:rPr>
                <w:rFonts w:hint="eastAsia" w:ascii="宋体" w:hAnsi="宋体" w:eastAsia="宋体" w:cs="宋体"/>
                <w:i w:val="0"/>
                <w:iCs w:val="0"/>
                <w:color w:val="000000"/>
                <w:kern w:val="0"/>
                <w:sz w:val="22"/>
                <w:szCs w:val="22"/>
                <w:u w:val="none"/>
                <w:lang w:val="en-US" w:eastAsia="zh-CN" w:bidi="ar"/>
              </w:rPr>
              <w:t>23</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库房区域标识</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20厘米*30厘米</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widowControl/>
              <w:suppressLineNumbers w:val="0"/>
              <w:jc w:val="center"/>
              <w:textAlignment w:val="center"/>
              <w:rPr>
                <w:rFonts w:hint="eastAsia" w:ascii="宋体" w:hAnsi="宋体" w:eastAsia="宋体" w:cs="Microsoft JhengHei"/>
                <w:bCs/>
                <w:sz w:val="18"/>
                <w:szCs w:val="18"/>
              </w:rPr>
            </w:pPr>
            <w:bookmarkStart w:id="9" w:name="_GoBack" w:colFirst="1" w:colLast="2"/>
            <w:r>
              <w:rPr>
                <w:rFonts w:hint="eastAsia" w:ascii="宋体" w:hAnsi="宋体" w:eastAsia="宋体" w:cs="宋体"/>
                <w:i w:val="0"/>
                <w:iCs w:val="0"/>
                <w:color w:val="000000"/>
                <w:kern w:val="0"/>
                <w:sz w:val="22"/>
                <w:szCs w:val="22"/>
                <w:u w:val="none"/>
                <w:lang w:val="en-US" w:eastAsia="zh-CN" w:bidi="ar"/>
              </w:rPr>
              <w:t>24</w:t>
            </w:r>
          </w:p>
        </w:tc>
        <w:tc>
          <w:tcPr>
            <w:tcW w:w="2035"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运营辅材</w:t>
            </w:r>
          </w:p>
        </w:tc>
        <w:tc>
          <w:tcPr>
            <w:tcW w:w="3613"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18"/>
                <w:szCs w:val="18"/>
                <w:u w:val="none"/>
                <w:lang w:val="en-US" w:eastAsia="zh-CN" w:bidi="ar"/>
              </w:rPr>
              <w:t>其他运营过程中必要的辅助材料</w:t>
            </w:r>
          </w:p>
        </w:tc>
        <w:tc>
          <w:tcPr>
            <w:tcW w:w="3469" w:type="dxa"/>
            <w:vAlign w:val="center"/>
          </w:tcPr>
          <w:p>
            <w:pPr>
              <w:keepNext w:val="0"/>
              <w:keepLines w:val="0"/>
              <w:widowControl/>
              <w:suppressLineNumbers w:val="0"/>
              <w:jc w:val="center"/>
              <w:textAlignment w:val="center"/>
              <w:rPr>
                <w:rFonts w:hint="eastAsia" w:ascii="宋体" w:hAnsi="宋体" w:eastAsia="宋体" w:cs="Microsoft JhengHei"/>
                <w:bCs/>
                <w:sz w:val="18"/>
                <w:szCs w:val="18"/>
                <w:lang w:eastAsia="zh-CN"/>
              </w:rPr>
            </w:pPr>
            <w:r>
              <w:rPr>
                <w:rFonts w:hint="eastAsia" w:ascii="宋体" w:hAnsi="宋体" w:eastAsia="宋体" w:cs="宋体"/>
                <w:i w:val="0"/>
                <w:iCs w:val="0"/>
                <w:color w:val="000000"/>
                <w:kern w:val="0"/>
                <w:sz w:val="22"/>
                <w:szCs w:val="22"/>
                <w:u w:val="none"/>
                <w:lang w:val="en-US" w:eastAsia="zh-CN" w:bidi="ar"/>
              </w:rPr>
              <w:t>5</w:t>
            </w:r>
          </w:p>
        </w:tc>
      </w:tr>
    </w:tbl>
    <w:p>
      <w:pPr>
        <w:pStyle w:val="13"/>
        <w:numPr>
          <w:ilvl w:val="0"/>
          <w:numId w:val="0"/>
        </w:numPr>
        <w:spacing w:before="161" w:line="360" w:lineRule="auto"/>
        <w:ind w:right="105" w:rightChars="0"/>
        <w:outlineLvl w:val="1"/>
        <w:rPr>
          <w:rFonts w:ascii="宋体" w:hAnsi="宋体" w:eastAsia="宋体" w:cs="Microsoft JhengHei"/>
          <w:b/>
          <w:bCs/>
          <w:sz w:val="24"/>
          <w:szCs w:val="24"/>
          <w:lang w:eastAsia="zh-CN"/>
        </w:rPr>
      </w:pPr>
      <w:r>
        <w:rPr>
          <w:rFonts w:hint="default" w:ascii="宋体" w:hAnsi="宋体" w:eastAsia="宋体" w:cs="Microsoft JhengHei"/>
          <w:b/>
          <w:bCs/>
          <w:sz w:val="24"/>
          <w:szCs w:val="24"/>
          <w:lang w:val="en-US" w:eastAsia="zh-CN" w:bidi="ar-SA"/>
        </w:rPr>
        <w:t>四、</w:t>
      </w:r>
      <w:r>
        <w:rPr>
          <w:rFonts w:hint="eastAsia" w:ascii="宋体" w:hAnsi="宋体" w:eastAsia="宋体" w:cs="Microsoft JhengHei"/>
          <w:b/>
          <w:bCs/>
          <w:sz w:val="24"/>
          <w:szCs w:val="24"/>
          <w:lang w:eastAsia="zh-CN"/>
        </w:rPr>
        <w:t>运营方案要求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1、SPD运营人员配备方案：提供人员配备清单、有完善的运营组织架构，运营人员岗位职责；</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2、院内配送服务方案：具有完善的院内配送服务方案，包括物流运营中心管理规定、</w:t>
      </w:r>
      <w:bookmarkStart w:id="0" w:name="_Toc533856824"/>
      <w:r>
        <w:rPr>
          <w:rFonts w:hint="eastAsia" w:ascii="宋体" w:hAnsi="宋体" w:eastAsia="宋体" w:cs="Microsoft JhengHei"/>
          <w:bCs/>
          <w:sz w:val="24"/>
          <w:szCs w:val="24"/>
          <w:lang w:eastAsia="zh-CN"/>
        </w:rPr>
        <w:t>物流运营考核体系标准</w:t>
      </w:r>
      <w:bookmarkEnd w:id="0"/>
      <w:r>
        <w:rPr>
          <w:rFonts w:hint="eastAsia" w:ascii="宋体" w:hAnsi="宋体" w:eastAsia="宋体" w:cs="Microsoft JhengHei"/>
          <w:bCs/>
          <w:sz w:val="24"/>
          <w:szCs w:val="24"/>
          <w:lang w:eastAsia="zh-CN"/>
        </w:rPr>
        <w:t>、各类考核打分对照表、指标库方案、优化服务方案等；</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3、作业流程管理：对耗材一级库、科室二级库内运营人员的作业流程有精细化管理标准，具体到采购、入库、出库、打包、装箱、配送都有对应的分解图示说明或动作分解指导；</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4、应急预案：包括系统应急预案、设备应急预案、</w:t>
      </w:r>
      <w:bookmarkStart w:id="1" w:name="_Toc101622598"/>
      <w:r>
        <w:rPr>
          <w:rFonts w:hint="eastAsia" w:ascii="宋体" w:hAnsi="宋体" w:eastAsia="宋体" w:cs="Microsoft JhengHei"/>
          <w:bCs/>
          <w:sz w:val="24"/>
          <w:szCs w:val="24"/>
          <w:lang w:eastAsia="zh-CN"/>
        </w:rPr>
        <w:t>人员应急预案</w:t>
      </w:r>
      <w:bookmarkEnd w:id="1"/>
      <w:bookmarkStart w:id="2" w:name="_Toc101622599"/>
      <w:r>
        <w:rPr>
          <w:rFonts w:hint="eastAsia" w:ascii="宋体" w:hAnsi="宋体" w:eastAsia="宋体" w:cs="Microsoft JhengHei"/>
          <w:bCs/>
          <w:sz w:val="24"/>
          <w:szCs w:val="24"/>
          <w:lang w:eastAsia="zh-CN"/>
        </w:rPr>
        <w:t>及其他保障措施</w:t>
      </w:r>
      <w:bookmarkEnd w:id="2"/>
      <w:r>
        <w:rPr>
          <w:rFonts w:hint="eastAsia" w:ascii="宋体" w:hAnsi="宋体" w:eastAsia="宋体" w:cs="Microsoft JhengHei"/>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5、财务管理措施方案：包括预算制管理、</w:t>
      </w:r>
      <w:bookmarkStart w:id="3" w:name="_Toc101622587"/>
      <w:r>
        <w:rPr>
          <w:rFonts w:hint="eastAsia" w:ascii="宋体" w:hAnsi="宋体" w:eastAsia="宋体" w:cs="Microsoft JhengHei"/>
          <w:bCs/>
          <w:sz w:val="24"/>
          <w:szCs w:val="24"/>
          <w:lang w:eastAsia="zh-CN"/>
        </w:rPr>
        <w:t>入库管理</w:t>
      </w:r>
      <w:bookmarkEnd w:id="3"/>
      <w:r>
        <w:rPr>
          <w:rFonts w:hint="eastAsia" w:ascii="宋体" w:hAnsi="宋体" w:eastAsia="宋体" w:cs="Microsoft JhengHei"/>
          <w:bCs/>
          <w:sz w:val="24"/>
          <w:szCs w:val="24"/>
          <w:lang w:eastAsia="zh-CN"/>
        </w:rPr>
        <w:t>、</w:t>
      </w:r>
      <w:bookmarkStart w:id="4" w:name="_Toc101622588"/>
      <w:r>
        <w:rPr>
          <w:rFonts w:hint="eastAsia" w:ascii="宋体" w:hAnsi="宋体" w:eastAsia="宋体" w:cs="Microsoft JhengHei"/>
          <w:bCs/>
          <w:sz w:val="24"/>
          <w:szCs w:val="24"/>
          <w:lang w:eastAsia="zh-CN"/>
        </w:rPr>
        <w:t>出库管理</w:t>
      </w:r>
      <w:bookmarkEnd w:id="4"/>
      <w:bookmarkStart w:id="5" w:name="_Toc101622589"/>
      <w:r>
        <w:rPr>
          <w:rFonts w:hint="eastAsia" w:ascii="宋体" w:hAnsi="宋体" w:eastAsia="宋体" w:cs="Microsoft JhengHei"/>
          <w:bCs/>
          <w:sz w:val="24"/>
          <w:szCs w:val="24"/>
          <w:lang w:eastAsia="zh-CN"/>
        </w:rPr>
        <w:t>、退货管理</w:t>
      </w:r>
      <w:bookmarkEnd w:id="5"/>
      <w:r>
        <w:rPr>
          <w:rFonts w:hint="eastAsia" w:ascii="宋体" w:hAnsi="宋体" w:eastAsia="宋体" w:cs="Microsoft JhengHei"/>
          <w:bCs/>
          <w:sz w:val="24"/>
          <w:szCs w:val="24"/>
          <w:lang w:eastAsia="zh-CN"/>
        </w:rPr>
        <w:t>、</w:t>
      </w:r>
      <w:bookmarkStart w:id="6" w:name="_Toc101622590"/>
      <w:r>
        <w:rPr>
          <w:rFonts w:hint="eastAsia" w:ascii="宋体" w:hAnsi="宋体" w:eastAsia="宋体" w:cs="Microsoft JhengHei"/>
          <w:bCs/>
          <w:sz w:val="24"/>
          <w:szCs w:val="24"/>
          <w:lang w:eastAsia="zh-CN"/>
        </w:rPr>
        <w:t>库存管理</w:t>
      </w:r>
      <w:bookmarkEnd w:id="6"/>
      <w:r>
        <w:rPr>
          <w:rFonts w:hint="eastAsia" w:ascii="宋体" w:hAnsi="宋体" w:eastAsia="宋体" w:cs="Microsoft JhengHei"/>
          <w:bCs/>
          <w:sz w:val="24"/>
          <w:szCs w:val="24"/>
          <w:lang w:eastAsia="zh-CN"/>
        </w:rPr>
        <w:t>等；</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bookmarkStart w:id="7" w:name="_Toc101622563"/>
      <w:r>
        <w:rPr>
          <w:rFonts w:hint="eastAsia" w:ascii="宋体" w:hAnsi="宋体" w:eastAsia="宋体" w:cs="Microsoft JhengHei"/>
          <w:bCs/>
          <w:sz w:val="24"/>
          <w:szCs w:val="24"/>
          <w:lang w:eastAsia="zh-CN"/>
        </w:rPr>
        <w:t>6、培训方案</w:t>
      </w:r>
      <w:bookmarkEnd w:id="7"/>
      <w:r>
        <w:rPr>
          <w:rFonts w:hint="eastAsia" w:ascii="宋体" w:hAnsi="宋体" w:eastAsia="宋体" w:cs="Microsoft JhengHei"/>
          <w:bCs/>
          <w:sz w:val="24"/>
          <w:szCs w:val="24"/>
          <w:lang w:eastAsia="zh-CN"/>
        </w:rPr>
        <w:t>：包括培训目的、培训策略、培训人员层次、培训内容及方式、软件操作培训、业务提升培训、培训考核等；</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Microsoft JhengHei"/>
          <w:bCs/>
          <w:sz w:val="24"/>
          <w:szCs w:val="24"/>
          <w:lang w:eastAsia="zh-CN"/>
        </w:rPr>
      </w:pPr>
      <w:r>
        <w:rPr>
          <w:rFonts w:hint="eastAsia" w:ascii="宋体" w:hAnsi="宋体" w:eastAsia="宋体" w:cs="Microsoft JhengHei"/>
          <w:bCs/>
          <w:sz w:val="24"/>
          <w:szCs w:val="24"/>
          <w:lang w:eastAsia="zh-CN"/>
        </w:rPr>
        <w:t>7、项目实施方案：包括项目组织架构方案、项目组织管理方案、整体方案的咨询和设计、全院耗材物流信息化建设等</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Microsoft JhengHei"/>
          <w:bCs/>
          <w:sz w:val="24"/>
          <w:szCs w:val="24"/>
          <w:lang w:eastAsia="zh-CN"/>
        </w:rPr>
        <w:sectPr>
          <w:pgSz w:w="11906" w:h="16838"/>
          <w:pgMar w:top="1134" w:right="1134" w:bottom="1134" w:left="1134" w:header="851" w:footer="992" w:gutter="0"/>
          <w:cols w:space="425" w:num="1"/>
          <w:docGrid w:type="lines" w:linePitch="312" w:charSpace="0"/>
        </w:sectPr>
      </w:pPr>
      <w:r>
        <w:rPr>
          <w:rFonts w:hint="eastAsia" w:ascii="宋体" w:hAnsi="宋体" w:eastAsia="宋体" w:cs="Microsoft JhengHei"/>
          <w:bCs/>
          <w:sz w:val="24"/>
          <w:szCs w:val="24"/>
          <w:lang w:eastAsia="zh-CN"/>
        </w:rPr>
        <w:t>8、延伸服务方案：能提供其他满足医院后期发展所需的服务方案。</w:t>
      </w:r>
    </w:p>
    <w:p>
      <w:pPr>
        <w:spacing w:before="187" w:line="228" w:lineRule="auto"/>
        <w:jc w:val="center"/>
        <w:rPr>
          <w:rFonts w:ascii="宋体" w:hAnsi="宋体" w:eastAsia="宋体" w:cs="宋体"/>
          <w:color w:val="5B9BD5" w:themeColor="accent1"/>
          <w:sz w:val="32"/>
          <w:szCs w:val="32"/>
          <w14:textFill>
            <w14:solidFill>
              <w14:schemeClr w14:val="accent1"/>
            </w14:solidFill>
          </w14:textFill>
        </w:rPr>
      </w:pPr>
      <w:r>
        <w:rPr>
          <w:rFonts w:hint="eastAsia" w:ascii="宋体" w:hAnsi="宋体" w:eastAsia="宋体" w:cs="宋体"/>
          <w:color w:val="5B9BD5" w:themeColor="accent1"/>
          <w:spacing w:val="8"/>
          <w:sz w:val="32"/>
          <w:szCs w:val="32"/>
          <w:lang w:val="en-US" w:eastAsia="zh-CN"/>
          <w14:textOutline w14:w="4358" w14:cap="sq" w14:cmpd="sng">
            <w14:solidFill>
              <w14:srgbClr w14:val="000000"/>
            </w14:solidFill>
            <w14:prstDash w14:val="solid"/>
            <w14:bevel/>
          </w14:textOutline>
          <w14:textFill>
            <w14:solidFill>
              <w14:schemeClr w14:val="accent1"/>
            </w14:solidFill>
          </w14:textFill>
        </w:rPr>
        <w:t>二、</w:t>
      </w:r>
      <w:r>
        <w:rPr>
          <w:rFonts w:ascii="宋体" w:hAnsi="宋体" w:eastAsia="宋体" w:cs="宋体"/>
          <w:color w:val="5B9BD5" w:themeColor="accent1"/>
          <w:spacing w:val="8"/>
          <w:sz w:val="32"/>
          <w:szCs w:val="32"/>
          <w14:textOutline w14:w="4358" w14:cap="sq" w14:cmpd="sng">
            <w14:solidFill>
              <w14:srgbClr w14:val="000000"/>
            </w14:solidFill>
            <w14:prstDash w14:val="solid"/>
            <w14:bevel/>
          </w14:textOutline>
          <w14:textFill>
            <w14:solidFill>
              <w14:schemeClr w14:val="accent1"/>
            </w14:solidFill>
          </w14:textFill>
        </w:rPr>
        <w:t>商务要求</w:t>
      </w:r>
    </w:p>
    <w:p>
      <w:pPr>
        <w:spacing w:line="360" w:lineRule="auto"/>
        <w:rPr>
          <w:b w:val="0"/>
          <w:bCs w:val="0"/>
          <w:color w:val="262626"/>
          <w:sz w:val="24"/>
          <w:szCs w:val="28"/>
        </w:rPr>
      </w:pPr>
      <w:r>
        <w:rPr>
          <w:rFonts w:hint="eastAsia"/>
          <w:b w:val="0"/>
          <w:bCs w:val="0"/>
          <w:color w:val="262626"/>
          <w:sz w:val="24"/>
          <w:szCs w:val="28"/>
          <w:lang w:val="en-US" w:eastAsia="zh-CN"/>
        </w:rPr>
        <w:t>1</w:t>
      </w:r>
      <w:r>
        <w:rPr>
          <w:rFonts w:hint="eastAsia"/>
          <w:b w:val="0"/>
          <w:bCs w:val="0"/>
          <w:color w:val="262626"/>
          <w:sz w:val="24"/>
          <w:szCs w:val="28"/>
        </w:rPr>
        <w:t>、</w:t>
      </w:r>
      <w:r>
        <w:rPr>
          <w:rFonts w:hint="eastAsia"/>
          <w:b w:val="0"/>
          <w:bCs w:val="0"/>
          <w:color w:val="262626"/>
          <w:sz w:val="24"/>
          <w:szCs w:val="28"/>
          <w:lang w:val="en-US" w:eastAsia="zh-CN"/>
        </w:rPr>
        <w:t>服务</w:t>
      </w:r>
      <w:r>
        <w:rPr>
          <w:b w:val="0"/>
          <w:bCs w:val="0"/>
          <w:color w:val="262626"/>
          <w:sz w:val="24"/>
          <w:szCs w:val="28"/>
        </w:rPr>
        <w:t>期</w:t>
      </w:r>
      <w:r>
        <w:rPr>
          <w:rFonts w:hint="eastAsia"/>
          <w:b w:val="0"/>
          <w:bCs w:val="0"/>
          <w:color w:val="262626"/>
          <w:sz w:val="24"/>
          <w:szCs w:val="28"/>
        </w:rPr>
        <w:t>及</w:t>
      </w:r>
      <w:r>
        <w:rPr>
          <w:rFonts w:hint="eastAsia"/>
          <w:b w:val="0"/>
          <w:bCs w:val="0"/>
          <w:color w:val="262626"/>
          <w:sz w:val="24"/>
          <w:szCs w:val="28"/>
          <w:lang w:val="en-US" w:eastAsia="zh-CN"/>
        </w:rPr>
        <w:t>服务</w:t>
      </w:r>
      <w:r>
        <w:rPr>
          <w:b w:val="0"/>
          <w:bCs w:val="0"/>
          <w:color w:val="262626"/>
          <w:sz w:val="24"/>
          <w:szCs w:val="28"/>
        </w:rPr>
        <w:t>地点</w:t>
      </w:r>
    </w:p>
    <w:p>
      <w:pPr>
        <w:spacing w:line="360" w:lineRule="auto"/>
        <w:ind w:firstLine="480" w:firstLineChars="200"/>
        <w:rPr>
          <w:b w:val="0"/>
          <w:bCs w:val="0"/>
          <w:color w:val="262626"/>
          <w:sz w:val="24"/>
          <w:szCs w:val="28"/>
        </w:rPr>
      </w:pPr>
      <w:r>
        <w:rPr>
          <w:rFonts w:hint="eastAsia"/>
          <w:b w:val="0"/>
          <w:bCs w:val="0"/>
          <w:color w:val="262626"/>
          <w:sz w:val="24"/>
          <w:szCs w:val="28"/>
          <w:lang w:val="en-US" w:eastAsia="zh-CN"/>
        </w:rPr>
        <w:t>服务</w:t>
      </w:r>
      <w:r>
        <w:rPr>
          <w:rFonts w:hint="eastAsia"/>
          <w:b w:val="0"/>
          <w:bCs w:val="0"/>
          <w:color w:val="262626"/>
          <w:sz w:val="24"/>
          <w:szCs w:val="28"/>
          <w:lang w:eastAsia="zh-CN"/>
        </w:rPr>
        <w:t>期</w:t>
      </w:r>
      <w:r>
        <w:rPr>
          <w:rFonts w:hint="eastAsia"/>
          <w:b w:val="0"/>
          <w:bCs w:val="0"/>
          <w:color w:val="262626"/>
          <w:sz w:val="24"/>
          <w:szCs w:val="28"/>
        </w:rPr>
        <w:t>：</w:t>
      </w:r>
      <w:r>
        <w:rPr>
          <w:rFonts w:hint="eastAsia"/>
          <w:b w:val="0"/>
          <w:bCs w:val="0"/>
          <w:color w:val="262626"/>
          <w:sz w:val="24"/>
          <w:szCs w:val="28"/>
          <w:lang w:val="en-US" w:eastAsia="zh-CN"/>
        </w:rPr>
        <w:t>3年（一年一签）</w:t>
      </w:r>
      <w:r>
        <w:rPr>
          <w:rFonts w:hint="eastAsia"/>
          <w:b w:val="0"/>
          <w:bCs w:val="0"/>
          <w:color w:val="262626"/>
          <w:sz w:val="24"/>
          <w:szCs w:val="28"/>
        </w:rPr>
        <w:t>。</w:t>
      </w:r>
    </w:p>
    <w:p>
      <w:pPr>
        <w:spacing w:line="360" w:lineRule="auto"/>
        <w:ind w:firstLine="480" w:firstLineChars="200"/>
        <w:rPr>
          <w:b w:val="0"/>
          <w:bCs w:val="0"/>
          <w:color w:val="262626"/>
          <w:sz w:val="24"/>
          <w:szCs w:val="28"/>
        </w:rPr>
      </w:pPr>
      <w:r>
        <w:rPr>
          <w:rFonts w:hint="eastAsia"/>
          <w:b w:val="0"/>
          <w:bCs w:val="0"/>
          <w:color w:val="262626"/>
          <w:sz w:val="24"/>
          <w:szCs w:val="28"/>
          <w:lang w:eastAsia="zh-CN"/>
        </w:rPr>
        <w:t>交货</w:t>
      </w:r>
      <w:r>
        <w:rPr>
          <w:b w:val="0"/>
          <w:bCs w:val="0"/>
          <w:color w:val="262626"/>
          <w:sz w:val="24"/>
          <w:szCs w:val="28"/>
        </w:rPr>
        <w:t>地点</w:t>
      </w:r>
      <w:r>
        <w:rPr>
          <w:rFonts w:hint="eastAsia"/>
          <w:b w:val="0"/>
          <w:bCs w:val="0"/>
          <w:color w:val="262626"/>
          <w:sz w:val="24"/>
          <w:szCs w:val="28"/>
        </w:rPr>
        <w:t>：</w:t>
      </w:r>
      <w:r>
        <w:rPr>
          <w:rFonts w:hint="eastAsia"/>
          <w:b w:val="0"/>
          <w:bCs w:val="0"/>
          <w:color w:val="262626"/>
          <w:sz w:val="24"/>
          <w:szCs w:val="28"/>
          <w:lang w:val="en-US" w:eastAsia="zh-CN"/>
        </w:rPr>
        <w:t>铜仁市妇幼保健院内</w:t>
      </w:r>
      <w:r>
        <w:rPr>
          <w:rFonts w:hint="eastAsia"/>
          <w:b w:val="0"/>
          <w:bCs w:val="0"/>
          <w:color w:val="262626"/>
          <w:sz w:val="24"/>
          <w:szCs w:val="28"/>
        </w:rPr>
        <w:t>。</w:t>
      </w:r>
    </w:p>
    <w:p>
      <w:pPr>
        <w:spacing w:line="360" w:lineRule="auto"/>
        <w:rPr>
          <w:b w:val="0"/>
          <w:bCs w:val="0"/>
          <w:color w:val="262626"/>
          <w:sz w:val="24"/>
          <w:szCs w:val="28"/>
        </w:rPr>
      </w:pPr>
      <w:r>
        <w:rPr>
          <w:rFonts w:hint="eastAsia"/>
          <w:b w:val="0"/>
          <w:bCs w:val="0"/>
          <w:color w:val="262626"/>
          <w:sz w:val="24"/>
          <w:szCs w:val="28"/>
          <w:lang w:val="en-US" w:eastAsia="zh-CN"/>
        </w:rPr>
        <w:t>2</w:t>
      </w:r>
      <w:r>
        <w:rPr>
          <w:rFonts w:hint="eastAsia"/>
          <w:b w:val="0"/>
          <w:bCs w:val="0"/>
          <w:color w:val="262626"/>
          <w:sz w:val="24"/>
          <w:szCs w:val="28"/>
        </w:rPr>
        <w:t>、验收标准、规范</w:t>
      </w:r>
    </w:p>
    <w:p>
      <w:pPr>
        <w:spacing w:line="360" w:lineRule="auto"/>
        <w:ind w:firstLine="480" w:firstLineChars="200"/>
        <w:rPr>
          <w:b w:val="0"/>
          <w:bCs w:val="0"/>
          <w:color w:val="262626"/>
          <w:sz w:val="24"/>
          <w:szCs w:val="28"/>
        </w:rPr>
      </w:pPr>
      <w:r>
        <w:rPr>
          <w:rFonts w:hint="eastAsia"/>
          <w:b w:val="0"/>
          <w:bCs w:val="0"/>
          <w:color w:val="262626"/>
          <w:sz w:val="24"/>
          <w:szCs w:val="28"/>
        </w:rPr>
        <w:t>验收标准：满足国家相关验收标准</w:t>
      </w:r>
      <w:r>
        <w:rPr>
          <w:rFonts w:hint="eastAsia"/>
          <w:b w:val="0"/>
          <w:bCs w:val="0"/>
          <w:color w:val="262626"/>
          <w:sz w:val="24"/>
          <w:szCs w:val="28"/>
          <w:lang w:eastAsia="zh-CN"/>
        </w:rPr>
        <w:t>并</w:t>
      </w:r>
      <w:r>
        <w:rPr>
          <w:rFonts w:hint="eastAsia"/>
          <w:b w:val="0"/>
          <w:bCs w:val="0"/>
          <w:color w:val="262626"/>
          <w:sz w:val="24"/>
          <w:szCs w:val="28"/>
        </w:rPr>
        <w:t>符合国家和相关行业管理要求。</w:t>
      </w:r>
    </w:p>
    <w:p>
      <w:pPr>
        <w:spacing w:line="360" w:lineRule="auto"/>
        <w:rPr>
          <w:rFonts w:hint="eastAsia" w:ascii="宋体" w:hAnsi="宋体" w:eastAsia="宋体" w:cs="宋体"/>
          <w:b w:val="0"/>
          <w:bCs w:val="0"/>
          <w:color w:val="262626"/>
          <w:sz w:val="24"/>
          <w:szCs w:val="24"/>
          <w:highlight w:val="none"/>
          <w:lang w:val="en-US" w:eastAsia="zh-CN"/>
        </w:rPr>
      </w:pPr>
      <w:r>
        <w:rPr>
          <w:rFonts w:hint="eastAsia" w:ascii="宋体" w:hAnsi="宋体" w:eastAsia="宋体" w:cs="宋体"/>
          <w:b w:val="0"/>
          <w:bCs w:val="0"/>
          <w:color w:val="262626"/>
          <w:sz w:val="24"/>
          <w:szCs w:val="24"/>
          <w:highlight w:val="none"/>
          <w:rtl w:val="0"/>
          <w:lang w:val="en-US" w:eastAsia="zh-CN"/>
        </w:rPr>
        <w:t>3、售后服务要求</w:t>
      </w:r>
    </w:p>
    <w:p>
      <w:pPr>
        <w:spacing w:line="360" w:lineRule="auto"/>
        <w:ind w:firstLine="480" w:firstLineChars="200"/>
        <w:rPr>
          <w:rFonts w:hint="eastAsia" w:ascii="宋体" w:hAnsi="宋体" w:eastAsia="宋体" w:cs="宋体"/>
          <w:b w:val="0"/>
          <w:bCs w:val="0"/>
          <w:color w:val="262626"/>
          <w:sz w:val="24"/>
          <w:szCs w:val="24"/>
          <w:highlight w:val="none"/>
          <w:lang w:val="en-US" w:eastAsia="zh-CN"/>
        </w:rPr>
      </w:pPr>
      <w:r>
        <w:rPr>
          <w:rFonts w:hint="eastAsia" w:ascii="宋体" w:hAnsi="宋体" w:eastAsia="宋体" w:cs="宋体"/>
          <w:b w:val="0"/>
          <w:bCs w:val="0"/>
          <w:color w:val="262626"/>
          <w:sz w:val="24"/>
          <w:szCs w:val="24"/>
          <w:highlight w:val="none"/>
          <w:rtl w:val="0"/>
          <w:lang w:val="en-US" w:eastAsia="zh-CN"/>
        </w:rPr>
        <w:t>1、保证提供给采购人的全部材料真实、完整、准确；</w:t>
      </w:r>
    </w:p>
    <w:p>
      <w:pPr>
        <w:spacing w:line="360" w:lineRule="auto"/>
        <w:ind w:firstLine="480" w:firstLineChars="200"/>
        <w:rPr>
          <w:rFonts w:hint="eastAsia" w:ascii="宋体" w:hAnsi="宋体" w:eastAsia="宋体" w:cs="宋体"/>
          <w:b w:val="0"/>
          <w:bCs w:val="0"/>
          <w:color w:val="262626"/>
          <w:sz w:val="24"/>
          <w:szCs w:val="24"/>
          <w:highlight w:val="none"/>
          <w:lang w:val="en-US" w:eastAsia="zh-CN"/>
        </w:rPr>
      </w:pPr>
      <w:r>
        <w:rPr>
          <w:rFonts w:hint="eastAsia" w:ascii="宋体" w:hAnsi="宋体" w:eastAsia="宋体" w:cs="宋体"/>
          <w:b w:val="0"/>
          <w:bCs w:val="0"/>
          <w:color w:val="262626"/>
          <w:sz w:val="24"/>
          <w:szCs w:val="24"/>
          <w:highlight w:val="none"/>
          <w:rtl w:val="0"/>
          <w:lang w:val="en-US" w:eastAsia="zh-CN"/>
        </w:rPr>
        <w:t>2、保证所从事的此项业务严格遵守国家法律、法规、规章的规定；</w:t>
      </w:r>
    </w:p>
    <w:p>
      <w:pPr>
        <w:spacing w:line="360" w:lineRule="auto"/>
        <w:ind w:firstLine="480" w:firstLineChars="200"/>
        <w:rPr>
          <w:rFonts w:hint="eastAsia" w:ascii="宋体" w:hAnsi="宋体" w:eastAsia="宋体" w:cs="宋体"/>
          <w:b w:val="0"/>
          <w:bCs w:val="0"/>
          <w:color w:val="262626"/>
          <w:sz w:val="24"/>
          <w:szCs w:val="24"/>
          <w:highlight w:val="none"/>
          <w:lang w:val="en-US" w:eastAsia="zh-CN"/>
        </w:rPr>
      </w:pPr>
      <w:r>
        <w:rPr>
          <w:rFonts w:hint="eastAsia" w:ascii="宋体" w:hAnsi="宋体" w:eastAsia="宋体" w:cs="宋体"/>
          <w:b w:val="0"/>
          <w:bCs w:val="0"/>
          <w:color w:val="262626"/>
          <w:sz w:val="24"/>
          <w:szCs w:val="24"/>
          <w:highlight w:val="none"/>
          <w:rtl w:val="0"/>
          <w:lang w:val="en-US" w:eastAsia="zh-CN"/>
        </w:rPr>
        <w:t>3、无条件接受采购人的监督检查。</w:t>
      </w:r>
    </w:p>
    <w:p>
      <w:pPr>
        <w:spacing w:line="360" w:lineRule="auto"/>
        <w:rPr>
          <w:rFonts w:hint="eastAsia" w:ascii="宋体" w:hAnsi="宋体" w:eastAsia="宋体" w:cs="宋体"/>
          <w:b w:val="0"/>
          <w:bCs w:val="0"/>
          <w:color w:val="262626"/>
          <w:sz w:val="24"/>
          <w:szCs w:val="24"/>
          <w:highlight w:val="none"/>
          <w:lang w:val="en-US" w:eastAsia="zh-CN"/>
        </w:rPr>
      </w:pPr>
      <w:r>
        <w:rPr>
          <w:rFonts w:hint="eastAsia" w:ascii="宋体" w:hAnsi="宋体" w:eastAsia="宋体" w:cs="宋体"/>
          <w:b w:val="0"/>
          <w:bCs w:val="0"/>
          <w:color w:val="262626"/>
          <w:sz w:val="24"/>
          <w:szCs w:val="24"/>
          <w:highlight w:val="none"/>
          <w:rtl w:val="0"/>
          <w:lang w:val="en-US" w:eastAsia="zh-CN"/>
        </w:rPr>
        <w:t>4、付款方式</w:t>
      </w:r>
    </w:p>
    <w:p>
      <w:pPr>
        <w:spacing w:line="360" w:lineRule="auto"/>
        <w:ind w:firstLine="480" w:firstLineChars="200"/>
        <w:rPr>
          <w:rFonts w:hint="eastAsia" w:ascii="宋体" w:hAnsi="宋体" w:eastAsia="宋体" w:cs="宋体"/>
          <w:b w:val="0"/>
          <w:bCs w:val="0"/>
          <w:color w:val="262626"/>
          <w:sz w:val="24"/>
          <w:szCs w:val="24"/>
          <w:highlight w:val="none"/>
          <w:lang w:val="en-US" w:eastAsia="zh-CN"/>
        </w:rPr>
      </w:pPr>
      <w:r>
        <w:rPr>
          <w:rFonts w:hint="eastAsia" w:ascii="宋体" w:hAnsi="宋体" w:eastAsia="宋体" w:cs="宋体"/>
          <w:b w:val="0"/>
          <w:bCs w:val="0"/>
          <w:color w:val="262626"/>
          <w:sz w:val="24"/>
          <w:szCs w:val="24"/>
          <w:highlight w:val="none"/>
          <w:rtl w:val="0"/>
          <w:lang w:val="en-US" w:eastAsia="zh-CN"/>
        </w:rPr>
        <w:t>签订服务合同时另行商定。</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val="0"/>
          <w:color w:val="262626"/>
          <w:sz w:val="24"/>
          <w:szCs w:val="24"/>
          <w:highlight w:val="none"/>
          <w:rtl w:val="0"/>
          <w:lang w:val="en-US" w:eastAsia="zh-CN"/>
        </w:rPr>
      </w:pPr>
      <w:r>
        <w:rPr>
          <w:rFonts w:hint="eastAsia" w:ascii="宋体" w:hAnsi="宋体" w:eastAsia="宋体" w:cs="宋体"/>
          <w:b w:val="0"/>
          <w:bCs w:val="0"/>
          <w:color w:val="262626"/>
          <w:sz w:val="24"/>
          <w:szCs w:val="24"/>
          <w:highlight w:val="none"/>
          <w:rtl w:val="0"/>
          <w:lang w:val="en-US" w:eastAsia="zh-CN"/>
        </w:rPr>
        <w:t>5、投标有效期：90日历天</w:t>
      </w:r>
    </w:p>
    <w:p>
      <w:pPr>
        <w:bidi w:val="0"/>
        <w:rPr>
          <w:rFonts w:hint="eastAsia" w:asciiTheme="minorHAnsi" w:hAnsiTheme="minorHAnsi" w:eastAsiaTheme="minorEastAsia" w:cstheme="minorBidi"/>
          <w:sz w:val="22"/>
          <w:szCs w:val="22"/>
          <w:lang w:val="en-US" w:eastAsia="zh-CN" w:bidi="ar-SA"/>
        </w:rPr>
      </w:pPr>
    </w:p>
    <w:p>
      <w:pPr>
        <w:bidi w:val="0"/>
        <w:jc w:val="left"/>
        <w:rPr>
          <w:rFonts w:hint="default"/>
          <w:lang w:val="en-US" w:eastAsia="zh-CN"/>
        </w:rPr>
      </w:pPr>
      <w:r>
        <w:rPr>
          <w:rFonts w:hint="eastAsia"/>
          <w:lang w:val="en-US" w:eastAsia="zh-CN"/>
        </w:rPr>
        <w:t>注：其他未尽事宜由双方在签订合同时商议。</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61834"/>
    <w:multiLevelType w:val="multilevel"/>
    <w:tmpl w:val="61861834"/>
    <w:lvl w:ilvl="0" w:tentative="0">
      <w:start w:val="1"/>
      <w:numFmt w:val="decimal"/>
      <w:isLgl/>
      <w:suff w:val="space"/>
      <w:lvlText w:val="第%1章"/>
      <w:lvlJc w:val="left"/>
      <w:pPr>
        <w:ind w:left="0" w:firstLine="0"/>
      </w:pPr>
      <w:rPr>
        <w:rFonts w:hint="eastAsia"/>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ZjAyZWRhMjEyN2Q1MzUxNjk0ODQxZDQwZWVjOTgifQ=="/>
  </w:docVars>
  <w:rsids>
    <w:rsidRoot w:val="003C40F2"/>
    <w:rsid w:val="000173EF"/>
    <w:rsid w:val="000B71BA"/>
    <w:rsid w:val="00112ADF"/>
    <w:rsid w:val="00177109"/>
    <w:rsid w:val="00186807"/>
    <w:rsid w:val="00196220"/>
    <w:rsid w:val="001B3609"/>
    <w:rsid w:val="001C15E4"/>
    <w:rsid w:val="001C436F"/>
    <w:rsid w:val="001D4EC5"/>
    <w:rsid w:val="001E712B"/>
    <w:rsid w:val="00242751"/>
    <w:rsid w:val="002571E0"/>
    <w:rsid w:val="002C1AF0"/>
    <w:rsid w:val="00316EE4"/>
    <w:rsid w:val="00316F5A"/>
    <w:rsid w:val="0034330D"/>
    <w:rsid w:val="0035794C"/>
    <w:rsid w:val="003C3A73"/>
    <w:rsid w:val="003C40F2"/>
    <w:rsid w:val="003E4632"/>
    <w:rsid w:val="00416FDE"/>
    <w:rsid w:val="0043548A"/>
    <w:rsid w:val="00450541"/>
    <w:rsid w:val="004518A1"/>
    <w:rsid w:val="00464CDB"/>
    <w:rsid w:val="004C40EA"/>
    <w:rsid w:val="004E0BA9"/>
    <w:rsid w:val="00530D29"/>
    <w:rsid w:val="0054239A"/>
    <w:rsid w:val="00566E2F"/>
    <w:rsid w:val="005C25FB"/>
    <w:rsid w:val="00622737"/>
    <w:rsid w:val="006B49AE"/>
    <w:rsid w:val="006C2A15"/>
    <w:rsid w:val="006D3E25"/>
    <w:rsid w:val="00715D1E"/>
    <w:rsid w:val="007577A9"/>
    <w:rsid w:val="00771098"/>
    <w:rsid w:val="007D541F"/>
    <w:rsid w:val="00820679"/>
    <w:rsid w:val="008350A9"/>
    <w:rsid w:val="008A0F14"/>
    <w:rsid w:val="008A62D5"/>
    <w:rsid w:val="008C2946"/>
    <w:rsid w:val="008D2E57"/>
    <w:rsid w:val="008E1DA9"/>
    <w:rsid w:val="00916733"/>
    <w:rsid w:val="0092017C"/>
    <w:rsid w:val="00932866"/>
    <w:rsid w:val="00990361"/>
    <w:rsid w:val="009C55BC"/>
    <w:rsid w:val="009E13F7"/>
    <w:rsid w:val="009E39BB"/>
    <w:rsid w:val="009F050C"/>
    <w:rsid w:val="009F4397"/>
    <w:rsid w:val="00A23C86"/>
    <w:rsid w:val="00A765D5"/>
    <w:rsid w:val="00A92647"/>
    <w:rsid w:val="00AD4E8F"/>
    <w:rsid w:val="00AE78F1"/>
    <w:rsid w:val="00B112EA"/>
    <w:rsid w:val="00B15AD3"/>
    <w:rsid w:val="00B91083"/>
    <w:rsid w:val="00BE4781"/>
    <w:rsid w:val="00C30A00"/>
    <w:rsid w:val="00C34D52"/>
    <w:rsid w:val="00CA6798"/>
    <w:rsid w:val="00CF4B06"/>
    <w:rsid w:val="00D67BE8"/>
    <w:rsid w:val="00D77492"/>
    <w:rsid w:val="00D957F0"/>
    <w:rsid w:val="00DB67C5"/>
    <w:rsid w:val="00DF3291"/>
    <w:rsid w:val="00E70B77"/>
    <w:rsid w:val="00E7168E"/>
    <w:rsid w:val="00E81BA6"/>
    <w:rsid w:val="00E92E39"/>
    <w:rsid w:val="00E975E4"/>
    <w:rsid w:val="00EA3A05"/>
    <w:rsid w:val="00F3558D"/>
    <w:rsid w:val="00F627A6"/>
    <w:rsid w:val="00F675D0"/>
    <w:rsid w:val="00F77930"/>
    <w:rsid w:val="00F85A8B"/>
    <w:rsid w:val="0347B653"/>
    <w:rsid w:val="03DA7877"/>
    <w:rsid w:val="0F967760"/>
    <w:rsid w:val="0FED557A"/>
    <w:rsid w:val="124A5F2F"/>
    <w:rsid w:val="1A2F30B1"/>
    <w:rsid w:val="1BF7B40A"/>
    <w:rsid w:val="1D6C3110"/>
    <w:rsid w:val="1FFFAC3A"/>
    <w:rsid w:val="23AE4106"/>
    <w:rsid w:val="3A171EC5"/>
    <w:rsid w:val="3BB5D43E"/>
    <w:rsid w:val="3C9E1B02"/>
    <w:rsid w:val="3CFA7592"/>
    <w:rsid w:val="3CFEA9F1"/>
    <w:rsid w:val="3D7B73E6"/>
    <w:rsid w:val="3DFE8A00"/>
    <w:rsid w:val="42F95AFC"/>
    <w:rsid w:val="43236A0A"/>
    <w:rsid w:val="43A44B80"/>
    <w:rsid w:val="56C6E037"/>
    <w:rsid w:val="584838CA"/>
    <w:rsid w:val="58C52F2C"/>
    <w:rsid w:val="5D4729E8"/>
    <w:rsid w:val="5D4B1C72"/>
    <w:rsid w:val="5DDFEF57"/>
    <w:rsid w:val="5E563043"/>
    <w:rsid w:val="62AD4773"/>
    <w:rsid w:val="64670DDF"/>
    <w:rsid w:val="65D774B5"/>
    <w:rsid w:val="66C814F3"/>
    <w:rsid w:val="6EFDEE8F"/>
    <w:rsid w:val="6FD564BD"/>
    <w:rsid w:val="72EA845D"/>
    <w:rsid w:val="756B7D1B"/>
    <w:rsid w:val="769F4A40"/>
    <w:rsid w:val="76EF78BA"/>
    <w:rsid w:val="773C41B3"/>
    <w:rsid w:val="77EF4CEC"/>
    <w:rsid w:val="799C736A"/>
    <w:rsid w:val="7B77BBC3"/>
    <w:rsid w:val="7D7371AE"/>
    <w:rsid w:val="7DFBD183"/>
    <w:rsid w:val="7DFD238D"/>
    <w:rsid w:val="7E3F9204"/>
    <w:rsid w:val="7F2B270F"/>
    <w:rsid w:val="7F977817"/>
    <w:rsid w:val="7FDF2628"/>
    <w:rsid w:val="7FFFCC47"/>
    <w:rsid w:val="9B176D6F"/>
    <w:rsid w:val="AFD3C566"/>
    <w:rsid w:val="B79F6FD3"/>
    <w:rsid w:val="B7FFE0BD"/>
    <w:rsid w:val="BB375168"/>
    <w:rsid w:val="BCF7D5C2"/>
    <w:rsid w:val="CBD55253"/>
    <w:rsid w:val="D7D65AEE"/>
    <w:rsid w:val="D93DA950"/>
    <w:rsid w:val="DFFFE19C"/>
    <w:rsid w:val="E2AFAC39"/>
    <w:rsid w:val="E2EF91DB"/>
    <w:rsid w:val="EBEF124A"/>
    <w:rsid w:val="EFD7558E"/>
    <w:rsid w:val="EFFE7491"/>
    <w:rsid w:val="F3AC90CA"/>
    <w:rsid w:val="F7177A8D"/>
    <w:rsid w:val="F79D047D"/>
    <w:rsid w:val="F7FF823F"/>
    <w:rsid w:val="FBDF6831"/>
    <w:rsid w:val="FDAF8EAB"/>
    <w:rsid w:val="FFFDC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link w:val="11"/>
    <w:qFormat/>
    <w:uiPriority w:val="1"/>
    <w:pPr>
      <w:ind w:left="971"/>
      <w:outlineLvl w:val="0"/>
    </w:pPr>
    <w:rPr>
      <w:rFonts w:ascii="Microsoft JhengHei" w:hAnsi="Microsoft JhengHei" w:eastAsia="Microsoft JhengHei"/>
      <w:b/>
      <w:bCs/>
      <w:sz w:val="44"/>
      <w:szCs w:val="44"/>
    </w:rPr>
  </w:style>
  <w:style w:type="paragraph" w:styleId="5">
    <w:name w:val="heading 2"/>
    <w:basedOn w:val="1"/>
    <w:next w:val="1"/>
    <w:unhideWhenUsed/>
    <w:qFormat/>
    <w:uiPriority w:val="0"/>
    <w:pPr>
      <w:numPr>
        <w:ilvl w:val="1"/>
        <w:numId w:val="1"/>
      </w:numPr>
      <w:snapToGrid w:val="0"/>
      <w:spacing w:before="156" w:beforeLines="50" w:line="360" w:lineRule="auto"/>
      <w:outlineLvl w:val="1"/>
    </w:pPr>
    <w:rPr>
      <w:rFonts w:asciiTheme="majorHAnsi" w:hAnsiTheme="majorHAnsi" w:eastAsiaTheme="majorEastAsia" w:cstheme="majorBidi"/>
      <w:sz w:val="3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4"/>
    <w:qFormat/>
    <w:uiPriority w:val="1"/>
    <w:rPr>
      <w:rFonts w:ascii="Microsoft JhengHei" w:hAnsi="Microsoft JhengHei" w:eastAsia="Microsoft JhengHei"/>
      <w:b/>
      <w:bCs/>
      <w:kern w:val="0"/>
      <w:sz w:val="44"/>
      <w:szCs w:val="44"/>
      <w:lang w:eastAsia="en-US"/>
    </w:rPr>
  </w:style>
  <w:style w:type="table" w:customStyle="1" w:styleId="1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0"/>
    <w:link w:val="7"/>
    <w:qFormat/>
    <w:uiPriority w:val="99"/>
    <w:rPr>
      <w:kern w:val="0"/>
      <w:sz w:val="18"/>
      <w:szCs w:val="18"/>
      <w:lang w:eastAsia="en-US"/>
    </w:rPr>
  </w:style>
  <w:style w:type="character" w:customStyle="1" w:styleId="16">
    <w:name w:val="页脚 Char"/>
    <w:basedOn w:val="10"/>
    <w:link w:val="6"/>
    <w:qFormat/>
    <w:uiPriority w:val="99"/>
    <w:rPr>
      <w:kern w:val="0"/>
      <w:sz w:val="18"/>
      <w:szCs w:val="18"/>
      <w:lang w:eastAsia="en-US"/>
    </w:rPr>
  </w:style>
  <w:style w:type="character" w:customStyle="1" w:styleId="1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4819</Words>
  <Characters>4928</Characters>
  <Lines>42</Lines>
  <Paragraphs>11</Paragraphs>
  <TotalTime>3</TotalTime>
  <ScaleCrop>false</ScaleCrop>
  <LinksUpToDate>false</LinksUpToDate>
  <CharactersWithSpaces>4944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2022-11-04T02:12:00Z</dcterms:created>
  <dc:creator>张超</dc:creator>
  <cp:lastModifiedBy>三年</cp:lastModifiedBy>
  <dcterms:modified xsi:type="dcterms:W3CDTF">2023-11-27T03:10:56Z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BB44B5AD72BD4A5C8B40EFD446810AEF_13</vt:lpwstr>
  </property>
</Properties>
</file>